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81AA8C" w14:textId="010DECCF" w:rsidR="00460AB9" w:rsidRDefault="00460AB9" w:rsidP="00460AB9">
      <w:pPr>
        <w:pStyle w:val="BodyTextSI"/>
        <w:rPr>
          <w:noProof/>
        </w:rPr>
      </w:pPr>
      <w:bookmarkStart w:id="0" w:name="_Toc144972625"/>
      <w:r>
        <w:rPr>
          <w:noProof/>
        </w:rPr>
        <w:t xml:space="preserve">The following </w:t>
      </w:r>
      <w:r w:rsidR="00B5151F">
        <w:rPr>
          <w:noProof/>
        </w:rPr>
        <w:t xml:space="preserve">draft </w:t>
      </w:r>
      <w:r>
        <w:rPr>
          <w:noProof/>
        </w:rPr>
        <w:t xml:space="preserve">information </w:t>
      </w:r>
      <w:r w:rsidR="00B5151F">
        <w:rPr>
          <w:noProof/>
        </w:rPr>
        <w:t xml:space="preserve">is an extract of what </w:t>
      </w:r>
      <w:r>
        <w:rPr>
          <w:noProof/>
        </w:rPr>
        <w:t xml:space="preserve">will be included in the </w:t>
      </w:r>
      <w:r w:rsidR="001150EE">
        <w:rPr>
          <w:noProof/>
        </w:rPr>
        <w:t>AHC Agriculture, Horticulture and Conservation and Land Management</w:t>
      </w:r>
      <w:r w:rsidR="00236883">
        <w:rPr>
          <w:noProof/>
        </w:rPr>
        <w:t xml:space="preserve"> Training Package</w:t>
      </w:r>
      <w:r>
        <w:rPr>
          <w:noProof/>
        </w:rPr>
        <w:t xml:space="preserve"> </w:t>
      </w:r>
      <w:r w:rsidR="00CB0B46">
        <w:rPr>
          <w:noProof/>
        </w:rPr>
        <w:t xml:space="preserve">Companion Volume </w:t>
      </w:r>
      <w:r>
        <w:rPr>
          <w:noProof/>
        </w:rPr>
        <w:t>Implementation Guide</w:t>
      </w:r>
      <w:r w:rsidR="00CB0B46">
        <w:rPr>
          <w:noProof/>
        </w:rPr>
        <w:t xml:space="preserve"> (CVIG)</w:t>
      </w:r>
      <w:r>
        <w:rPr>
          <w:noProof/>
        </w:rPr>
        <w:t xml:space="preserve"> </w:t>
      </w:r>
      <w:r w:rsidR="00B5151F">
        <w:rPr>
          <w:noProof/>
        </w:rPr>
        <w:t xml:space="preserve">Release </w:t>
      </w:r>
      <w:r w:rsidR="00236883">
        <w:rPr>
          <w:noProof/>
        </w:rPr>
        <w:t>13.0.</w:t>
      </w:r>
    </w:p>
    <w:p w14:paraId="2BAA06FC" w14:textId="61814FB8" w:rsidR="00B5151F" w:rsidRDefault="00B5151F" w:rsidP="00A03A37">
      <w:pPr>
        <w:pStyle w:val="BodyTextSI"/>
        <w:rPr>
          <w:noProof/>
        </w:rPr>
      </w:pPr>
      <w:r>
        <w:rPr>
          <w:noProof/>
        </w:rPr>
        <w:t>Th</w:t>
      </w:r>
      <w:r w:rsidR="00C446E2">
        <w:rPr>
          <w:noProof/>
        </w:rPr>
        <w:t>is draft infomration is available for feedback</w:t>
      </w:r>
      <w:r w:rsidR="00AB37DF">
        <w:rPr>
          <w:noProof/>
        </w:rPr>
        <w:t>. The revised content</w:t>
      </w:r>
      <w:r w:rsidR="00C446E2">
        <w:rPr>
          <w:noProof/>
        </w:rPr>
        <w:t xml:space="preserve"> will be</w:t>
      </w:r>
      <w:r>
        <w:rPr>
          <w:noProof/>
        </w:rPr>
        <w:t xml:space="preserve"> </w:t>
      </w:r>
      <w:r w:rsidR="00CB0B46">
        <w:rPr>
          <w:noProof/>
        </w:rPr>
        <w:t xml:space="preserve">updated </w:t>
      </w:r>
      <w:r w:rsidR="00C446E2">
        <w:rPr>
          <w:noProof/>
        </w:rPr>
        <w:t xml:space="preserve">in the </w:t>
      </w:r>
      <w:r w:rsidR="00236883">
        <w:rPr>
          <w:noProof/>
        </w:rPr>
        <w:t>AHC</w:t>
      </w:r>
      <w:r w:rsidR="00CB0B46">
        <w:rPr>
          <w:noProof/>
        </w:rPr>
        <w:t xml:space="preserve"> CVIG Release </w:t>
      </w:r>
      <w:r w:rsidR="00236883">
        <w:rPr>
          <w:noProof/>
        </w:rPr>
        <w:t>13.0</w:t>
      </w:r>
      <w:r w:rsidR="00CB0B46">
        <w:rPr>
          <w:noProof/>
        </w:rPr>
        <w:t xml:space="preserve"> will be avaialble </w:t>
      </w:r>
      <w:r w:rsidR="00AB37DF">
        <w:rPr>
          <w:noProof/>
        </w:rPr>
        <w:t>during the next consultation phase.</w:t>
      </w:r>
    </w:p>
    <w:p w14:paraId="58BC70CA" w14:textId="3025F055" w:rsidR="001C0229" w:rsidRPr="00442F18" w:rsidRDefault="001C0229" w:rsidP="00746BA6">
      <w:pPr>
        <w:pStyle w:val="Heading1SI"/>
        <w:rPr>
          <w:noProof/>
        </w:rPr>
      </w:pPr>
      <w:r w:rsidRPr="00442F18">
        <w:rPr>
          <w:noProof/>
        </w:rPr>
        <w:t>Implementation information</w:t>
      </w:r>
      <w:bookmarkEnd w:id="0"/>
    </w:p>
    <w:p w14:paraId="503FDC09" w14:textId="1EAE77B3" w:rsidR="001C0229" w:rsidRPr="00442F18" w:rsidRDefault="00DC7C52" w:rsidP="00746BA6">
      <w:pPr>
        <w:pStyle w:val="Heading2SI"/>
      </w:pPr>
      <w:r w:rsidRPr="00DC7C52">
        <w:t>Industry</w:t>
      </w:r>
      <w:r w:rsidR="001C0229" w:rsidRPr="00442F18">
        <w:t xml:space="preserve"> sectors and occupational outcomes of qualifications</w:t>
      </w:r>
    </w:p>
    <w:p w14:paraId="3CE91944" w14:textId="0D1A39FE" w:rsidR="001C0229" w:rsidRPr="00442F18" w:rsidRDefault="001C0229" w:rsidP="001C0229">
      <w:pPr>
        <w:pStyle w:val="BodyTextSI"/>
      </w:pPr>
      <w:r w:rsidRPr="00442F18">
        <w:t xml:space="preserve">The </w:t>
      </w:r>
      <w:r w:rsidR="00236883">
        <w:rPr>
          <w:rStyle w:val="SIBodyitalics"/>
          <w:iCs/>
        </w:rPr>
        <w:t>AHC</w:t>
      </w:r>
      <w:r w:rsidRPr="00442F18">
        <w:rPr>
          <w:rStyle w:val="SIBodyitalics"/>
          <w:iCs/>
        </w:rPr>
        <w:t xml:space="preserve"> Training Package</w:t>
      </w:r>
      <w:r w:rsidRPr="00442F18">
        <w:t xml:space="preserve"> includes units of competency from the following industry sectors.</w:t>
      </w:r>
    </w:p>
    <w:tbl>
      <w:tblPr>
        <w:tblW w:w="9360" w:type="dxa"/>
        <w:tblInd w:w="175" w:type="dxa"/>
        <w:tblLook w:val="04A0" w:firstRow="1" w:lastRow="0" w:firstColumn="1" w:lastColumn="0" w:noHBand="0" w:noVBand="1"/>
      </w:tblPr>
      <w:tblGrid>
        <w:gridCol w:w="1185"/>
        <w:gridCol w:w="3609"/>
        <w:gridCol w:w="1185"/>
        <w:gridCol w:w="3381"/>
      </w:tblGrid>
      <w:tr w:rsidR="001C0229" w:rsidRPr="00442F18" w14:paraId="25EBAEF8" w14:textId="77777777" w:rsidTr="007646D6">
        <w:trPr>
          <w:trHeight w:val="300"/>
          <w:tblHeader/>
        </w:trPr>
        <w:tc>
          <w:tcPr>
            <w:tcW w:w="1185" w:type="dxa"/>
            <w:tcBorders>
              <w:top w:val="single" w:sz="12" w:space="0" w:color="538135"/>
              <w:bottom w:val="single" w:sz="12" w:space="0" w:color="538135"/>
            </w:tcBorders>
            <w:vAlign w:val="center"/>
          </w:tcPr>
          <w:p w14:paraId="557B10EE" w14:textId="77777777" w:rsidR="001C0229" w:rsidRPr="00442F18" w:rsidRDefault="001C0229" w:rsidP="0055409E">
            <w:pPr>
              <w:pStyle w:val="SITableHeading1"/>
            </w:pPr>
            <w:r w:rsidRPr="00442F18">
              <w:t>Sector Code</w:t>
            </w:r>
          </w:p>
        </w:tc>
        <w:tc>
          <w:tcPr>
            <w:tcW w:w="3609" w:type="dxa"/>
            <w:tcBorders>
              <w:top w:val="single" w:sz="12" w:space="0" w:color="538135"/>
              <w:bottom w:val="single" w:sz="12" w:space="0" w:color="538135"/>
            </w:tcBorders>
            <w:vAlign w:val="center"/>
          </w:tcPr>
          <w:p w14:paraId="6D456262" w14:textId="77777777" w:rsidR="001C0229" w:rsidRPr="00442F18" w:rsidRDefault="001C0229" w:rsidP="0055409E">
            <w:pPr>
              <w:pStyle w:val="SITableHeading1"/>
            </w:pPr>
            <w:r w:rsidRPr="00442F18">
              <w:t>Sector</w:t>
            </w:r>
          </w:p>
        </w:tc>
        <w:tc>
          <w:tcPr>
            <w:tcW w:w="1185" w:type="dxa"/>
            <w:tcBorders>
              <w:top w:val="single" w:sz="12" w:space="0" w:color="538135"/>
              <w:bottom w:val="single" w:sz="12" w:space="0" w:color="538135"/>
            </w:tcBorders>
            <w:vAlign w:val="center"/>
          </w:tcPr>
          <w:p w14:paraId="19DC4755" w14:textId="77777777" w:rsidR="001C0229" w:rsidRPr="00442F18" w:rsidRDefault="001C0229" w:rsidP="0055409E">
            <w:pPr>
              <w:pStyle w:val="SITableHeading1"/>
            </w:pPr>
            <w:r w:rsidRPr="00442F18">
              <w:t>Sector Code</w:t>
            </w:r>
          </w:p>
        </w:tc>
        <w:tc>
          <w:tcPr>
            <w:tcW w:w="3381" w:type="dxa"/>
            <w:tcBorders>
              <w:top w:val="single" w:sz="12" w:space="0" w:color="538135"/>
              <w:bottom w:val="single" w:sz="12" w:space="0" w:color="538135"/>
            </w:tcBorders>
            <w:vAlign w:val="center"/>
          </w:tcPr>
          <w:p w14:paraId="32A959ED" w14:textId="77777777" w:rsidR="001C0229" w:rsidRPr="00442F18" w:rsidRDefault="001C0229" w:rsidP="0055409E">
            <w:pPr>
              <w:pStyle w:val="SITableHeading1"/>
            </w:pPr>
            <w:r w:rsidRPr="00442F18">
              <w:t>Sector</w:t>
            </w:r>
          </w:p>
        </w:tc>
      </w:tr>
      <w:tr w:rsidR="001C0229" w:rsidRPr="00442F18" w14:paraId="21EFE306" w14:textId="77777777" w:rsidTr="007646D6">
        <w:trPr>
          <w:trHeight w:val="300"/>
        </w:trPr>
        <w:tc>
          <w:tcPr>
            <w:tcW w:w="1185" w:type="dxa"/>
            <w:tcBorders>
              <w:top w:val="single" w:sz="12" w:space="0" w:color="538135"/>
              <w:bottom w:val="single" w:sz="4" w:space="0" w:color="538135"/>
            </w:tcBorders>
            <w:vAlign w:val="center"/>
            <w:hideMark/>
          </w:tcPr>
          <w:p w14:paraId="5DA419B6" w14:textId="6AFEDB17" w:rsidR="001C0229" w:rsidRPr="0055409E" w:rsidRDefault="009556D2" w:rsidP="0055409E">
            <w:pPr>
              <w:pStyle w:val="BodyTextSI"/>
            </w:pPr>
            <w:r>
              <w:t>TEC</w:t>
            </w:r>
          </w:p>
        </w:tc>
        <w:tc>
          <w:tcPr>
            <w:tcW w:w="3609" w:type="dxa"/>
            <w:tcBorders>
              <w:top w:val="single" w:sz="12" w:space="0" w:color="538135"/>
              <w:bottom w:val="single" w:sz="4" w:space="0" w:color="538135"/>
            </w:tcBorders>
            <w:vAlign w:val="center"/>
            <w:hideMark/>
          </w:tcPr>
          <w:p w14:paraId="7B7B4F1A" w14:textId="633322D6" w:rsidR="001C0229" w:rsidRPr="0055409E" w:rsidRDefault="009556D2" w:rsidP="0055409E">
            <w:pPr>
              <w:pStyle w:val="BodyTextSI"/>
            </w:pPr>
            <w:r>
              <w:t>Technology</w:t>
            </w:r>
          </w:p>
        </w:tc>
        <w:tc>
          <w:tcPr>
            <w:tcW w:w="1185" w:type="dxa"/>
            <w:tcBorders>
              <w:top w:val="single" w:sz="12" w:space="0" w:color="538135"/>
              <w:bottom w:val="single" w:sz="4" w:space="0" w:color="538135"/>
            </w:tcBorders>
            <w:vAlign w:val="center"/>
            <w:hideMark/>
          </w:tcPr>
          <w:p w14:paraId="44969F8B" w14:textId="49312031" w:rsidR="001C0229" w:rsidRPr="0055409E" w:rsidRDefault="009556D2" w:rsidP="0055409E">
            <w:pPr>
              <w:pStyle w:val="BodyTextSI"/>
            </w:pPr>
            <w:r>
              <w:t>SOL</w:t>
            </w:r>
          </w:p>
        </w:tc>
        <w:tc>
          <w:tcPr>
            <w:tcW w:w="3381" w:type="dxa"/>
            <w:tcBorders>
              <w:top w:val="single" w:sz="12" w:space="0" w:color="538135"/>
              <w:bottom w:val="single" w:sz="4" w:space="0" w:color="538135"/>
            </w:tcBorders>
            <w:vAlign w:val="center"/>
            <w:hideMark/>
          </w:tcPr>
          <w:p w14:paraId="61735E27" w14:textId="016EB7FD" w:rsidR="001C0229" w:rsidRPr="0055409E" w:rsidRDefault="009556D2" w:rsidP="0055409E">
            <w:pPr>
              <w:pStyle w:val="BodyTextSI"/>
            </w:pPr>
            <w:r>
              <w:t>Soil</w:t>
            </w:r>
            <w:r w:rsidR="008C2B45">
              <w:t>s and Media</w:t>
            </w:r>
          </w:p>
        </w:tc>
      </w:tr>
    </w:tbl>
    <w:p w14:paraId="08CDC2F2" w14:textId="77777777" w:rsidR="001C0229" w:rsidRPr="001C0229" w:rsidRDefault="001C0229" w:rsidP="001C0229">
      <w:pPr>
        <w:pStyle w:val="SIBodyText"/>
      </w:pPr>
    </w:p>
    <w:p w14:paraId="6374CA5F" w14:textId="12BAA763" w:rsidR="009453DE" w:rsidRDefault="009453DE" w:rsidP="009453DE">
      <w:pPr>
        <w:pStyle w:val="Heading3SI"/>
      </w:pPr>
      <w:bookmarkStart w:id="1" w:name="_Toc144972626"/>
      <w:r w:rsidRPr="00442F18">
        <w:t>Sector overview</w:t>
      </w:r>
      <w:bookmarkEnd w:id="1"/>
    </w:p>
    <w:p w14:paraId="7C881906" w14:textId="77777777" w:rsidR="003870B1" w:rsidRPr="00354DB4" w:rsidRDefault="003870B1" w:rsidP="00746BA6">
      <w:pPr>
        <w:pStyle w:val="Heading4SI"/>
      </w:pPr>
      <w:r w:rsidRPr="00354DB4">
        <w:t>Agriculture and agribusiness</w:t>
      </w:r>
    </w:p>
    <w:p w14:paraId="602FAD53" w14:textId="61A470CB" w:rsidR="003870B1" w:rsidRPr="00354DB4" w:rsidRDefault="003870B1" w:rsidP="00746BA6">
      <w:pPr>
        <w:pStyle w:val="Heading4SI"/>
        <w:rPr>
          <w:b w:val="0"/>
          <w:bCs w:val="0"/>
          <w:sz w:val="24"/>
          <w:szCs w:val="24"/>
        </w:rPr>
      </w:pPr>
      <w:r w:rsidRPr="003870B1">
        <w:rPr>
          <w:b w:val="0"/>
          <w:bCs w:val="0"/>
          <w:sz w:val="24"/>
          <w:szCs w:val="24"/>
        </w:rPr>
        <w:t xml:space="preserve">Agriculture and Agribusiness are diverse sectors including both plant and animal-based production systems along with supporting Agribusiness enterprises that supply agriculture goods and services. Job roles within the sector range from farmhands, farm business managers and include numerous agricultural service roles. This sector is a leader in the uptake and development of new technologies and attracting investment on an international level. Australian producers have a reputation for green and safe agricultural products which provides a marketing advantage that must be retained. As a result, biosecurity will be an important issue as Australia develops its export trade in agricultural goods. There is an increased interest </w:t>
      </w:r>
      <w:proofErr w:type="gramStart"/>
      <w:r w:rsidRPr="003870B1">
        <w:rPr>
          <w:b w:val="0"/>
          <w:bCs w:val="0"/>
          <w:sz w:val="24"/>
          <w:szCs w:val="24"/>
        </w:rPr>
        <w:t>in the area of</w:t>
      </w:r>
      <w:proofErr w:type="gramEnd"/>
      <w:r w:rsidRPr="003870B1">
        <w:rPr>
          <w:b w:val="0"/>
          <w:bCs w:val="0"/>
          <w:sz w:val="24"/>
          <w:szCs w:val="24"/>
        </w:rPr>
        <w:t xml:space="preserve"> carbon farming for </w:t>
      </w:r>
      <w:proofErr w:type="gramStart"/>
      <w:r w:rsidRPr="003870B1">
        <w:rPr>
          <w:b w:val="0"/>
          <w:bCs w:val="0"/>
          <w:sz w:val="24"/>
          <w:szCs w:val="24"/>
        </w:rPr>
        <w:t>land owners</w:t>
      </w:r>
      <w:proofErr w:type="gramEnd"/>
      <w:r w:rsidRPr="003870B1">
        <w:rPr>
          <w:b w:val="0"/>
          <w:bCs w:val="0"/>
          <w:sz w:val="24"/>
          <w:szCs w:val="24"/>
        </w:rPr>
        <w:t xml:space="preserve"> especially </w:t>
      </w:r>
      <w:proofErr w:type="gramStart"/>
      <w:r w:rsidRPr="003870B1">
        <w:rPr>
          <w:b w:val="0"/>
          <w:bCs w:val="0"/>
          <w:sz w:val="24"/>
          <w:szCs w:val="24"/>
        </w:rPr>
        <w:t>in the area of</w:t>
      </w:r>
      <w:proofErr w:type="gramEnd"/>
      <w:r w:rsidRPr="003870B1">
        <w:rPr>
          <w:b w:val="0"/>
          <w:bCs w:val="0"/>
          <w:sz w:val="24"/>
          <w:szCs w:val="24"/>
        </w:rPr>
        <w:t xml:space="preserve"> Emissions Reduction Fund projects which are supported by the Clean Energy Regulator.</w:t>
      </w:r>
    </w:p>
    <w:p w14:paraId="184CB5C3" w14:textId="085FD9B5" w:rsidR="00B6358D" w:rsidRDefault="00B6358D" w:rsidP="00746BA6">
      <w:pPr>
        <w:pStyle w:val="Heading4SI"/>
      </w:pPr>
      <w:r>
        <w:t>Pathways charts – progression between qualifications</w:t>
      </w:r>
    </w:p>
    <w:p w14:paraId="51E5B029" w14:textId="77777777" w:rsidR="00B6358D" w:rsidRDefault="00B6358D" w:rsidP="00B6358D">
      <w:pPr>
        <w:pStyle w:val="BodyTextSI"/>
      </w:pPr>
      <w:r>
        <w:t xml:space="preserve">Qualifications have been designed to allow learners to progress into and between qualifications. The following diagram shows the various options for movement into and between qualifications in the </w:t>
      </w:r>
      <w:r w:rsidRPr="008D1FD7">
        <w:rPr>
          <w:i/>
          <w:iCs/>
        </w:rPr>
        <w:t>AHC Agriculture, Horticulture and Conservation and Land Management</w:t>
      </w:r>
      <w:r>
        <w:t xml:space="preserve"> Training Package.</w:t>
      </w:r>
    </w:p>
    <w:p w14:paraId="2F272B90" w14:textId="739AEFB4" w:rsidR="003870B1" w:rsidRDefault="003870B1" w:rsidP="00B6358D">
      <w:pPr>
        <w:pStyle w:val="BodyTextSI"/>
      </w:pPr>
    </w:p>
    <w:p w14:paraId="25850810" w14:textId="75307EC2" w:rsidR="003870B1" w:rsidRDefault="009027DB" w:rsidP="00B6358D">
      <w:pPr>
        <w:pStyle w:val="BodyTextSI"/>
      </w:pPr>
      <w:r>
        <w:rPr>
          <w:noProof/>
          <w14:ligatures w14:val="none"/>
        </w:rPr>
        <w:lastRenderedPageBreak/>
        <w:drawing>
          <wp:inline distT="0" distB="0" distL="0" distR="0" wp14:anchorId="607BD1EF" wp14:editId="2A09D934">
            <wp:extent cx="5976620" cy="3361690"/>
            <wp:effectExtent l="0" t="0" r="5080" b="0"/>
            <wp:docPr id="201905092"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05092" name=""/>
                    <pic:cNvPicPr/>
                  </pic:nvPicPr>
                  <pic:blipFill>
                    <a:blip r:embed="rId11">
                      <a:extLst>
                        <a:ext uri="{96DAC541-7B7A-43D3-8B79-37D633B846F1}">
                          <asvg:svgBlip xmlns:asvg="http://schemas.microsoft.com/office/drawing/2016/SVG/main" r:embed="rId12"/>
                        </a:ext>
                      </a:extLst>
                    </a:blip>
                    <a:stretch>
                      <a:fillRect/>
                    </a:stretch>
                  </pic:blipFill>
                  <pic:spPr>
                    <a:xfrm>
                      <a:off x="0" y="0"/>
                      <a:ext cx="5976620" cy="3361690"/>
                    </a:xfrm>
                    <a:prstGeom prst="rect">
                      <a:avLst/>
                    </a:prstGeom>
                  </pic:spPr>
                </pic:pic>
              </a:graphicData>
            </a:graphic>
          </wp:inline>
        </w:drawing>
      </w:r>
    </w:p>
    <w:p w14:paraId="0227CDF7" w14:textId="77777777" w:rsidR="00B6358D" w:rsidRDefault="00B6358D" w:rsidP="00746BA6">
      <w:pPr>
        <w:pStyle w:val="Heading2SI"/>
      </w:pPr>
      <w:r w:rsidRPr="00442F18">
        <w:t>Occupational outcomes for industry sectors</w:t>
      </w:r>
    </w:p>
    <w:p w14:paraId="180ABB45" w14:textId="77777777" w:rsidR="008C2B45" w:rsidRDefault="00746BA6" w:rsidP="008C2B45">
      <w:pPr>
        <w:pStyle w:val="BodyTextSI"/>
      </w:pPr>
      <w:r>
        <w:t>The following table lists the qualifications and provides an overview of occupational outcomes for each qualification.</w:t>
      </w:r>
    </w:p>
    <w:p w14:paraId="1F8E58C7" w14:textId="5E2E7754" w:rsidR="00A2526B" w:rsidRPr="00656EAC" w:rsidRDefault="00A2526B" w:rsidP="008C2B45">
      <w:pPr>
        <w:pStyle w:val="BodyTextSI"/>
        <w:rPr>
          <w:rStyle w:val="SITempText-Blue"/>
        </w:rPr>
      </w:pPr>
      <w:r w:rsidRPr="00656EAC">
        <w:rPr>
          <w:rStyle w:val="SITempText-Blue"/>
        </w:rPr>
        <w:t>Please note that temporary codes are used, all training product codes will be updated upon finalisation.</w:t>
      </w:r>
    </w:p>
    <w:p w14:paraId="4AC2DD6D" w14:textId="6EBEFAD0" w:rsidR="00746BA6" w:rsidRPr="00746BA6" w:rsidRDefault="008C2B45" w:rsidP="008C2B45">
      <w:pPr>
        <w:pStyle w:val="BodyTextSI"/>
      </w:pPr>
      <w:r w:rsidRPr="007E632E">
        <w:rPr>
          <w:b/>
          <w:bCs/>
        </w:rPr>
        <w:t>Animal and other livestock production</w:t>
      </w:r>
    </w:p>
    <w:tbl>
      <w:tblPr>
        <w:tblW w:w="0" w:type="auto"/>
        <w:tblLook w:val="04A0" w:firstRow="1" w:lastRow="0" w:firstColumn="1" w:lastColumn="0" w:noHBand="0" w:noVBand="1"/>
      </w:tblPr>
      <w:tblGrid>
        <w:gridCol w:w="4508"/>
        <w:gridCol w:w="4508"/>
      </w:tblGrid>
      <w:tr w:rsidR="00B6358D" w:rsidRPr="00442F18" w14:paraId="4576AEFF" w14:textId="77777777" w:rsidTr="00F22F8C">
        <w:tc>
          <w:tcPr>
            <w:tcW w:w="4508" w:type="dxa"/>
            <w:tcBorders>
              <w:top w:val="single" w:sz="12" w:space="0" w:color="538135"/>
              <w:bottom w:val="single" w:sz="12" w:space="0" w:color="538135"/>
            </w:tcBorders>
          </w:tcPr>
          <w:p w14:paraId="65CA1D33" w14:textId="77777777" w:rsidR="00B6358D" w:rsidRPr="00964CB9" w:rsidRDefault="00B6358D" w:rsidP="00F22F8C">
            <w:pPr>
              <w:pStyle w:val="SITableHeading1"/>
            </w:pPr>
            <w:r w:rsidRPr="00964CB9">
              <w:t>Qualification</w:t>
            </w:r>
          </w:p>
        </w:tc>
        <w:tc>
          <w:tcPr>
            <w:tcW w:w="4508" w:type="dxa"/>
            <w:tcBorders>
              <w:top w:val="single" w:sz="12" w:space="0" w:color="538135"/>
              <w:bottom w:val="single" w:sz="12" w:space="0" w:color="538135"/>
            </w:tcBorders>
          </w:tcPr>
          <w:p w14:paraId="15CF1C20" w14:textId="77777777" w:rsidR="00B6358D" w:rsidRPr="00964CB9" w:rsidRDefault="00B6358D" w:rsidP="00F22F8C">
            <w:pPr>
              <w:pStyle w:val="SITableHeading1"/>
            </w:pPr>
            <w:r w:rsidRPr="00964CB9">
              <w:t>Typical occupational outcomes</w:t>
            </w:r>
          </w:p>
        </w:tc>
      </w:tr>
      <w:tr w:rsidR="008C2B45" w:rsidRPr="00442F18" w14:paraId="4DFC13FB" w14:textId="77777777" w:rsidTr="00F22F8C">
        <w:tc>
          <w:tcPr>
            <w:tcW w:w="4508" w:type="dxa"/>
            <w:tcBorders>
              <w:top w:val="single" w:sz="12" w:space="0" w:color="538135"/>
              <w:bottom w:val="single" w:sz="4" w:space="0" w:color="538135"/>
            </w:tcBorders>
          </w:tcPr>
          <w:p w14:paraId="75244F64" w14:textId="4D1F23B5" w:rsidR="008C2B45" w:rsidRPr="0055409E" w:rsidRDefault="008C2B45" w:rsidP="008C2B45">
            <w:pPr>
              <w:pStyle w:val="SITabletext"/>
            </w:pPr>
            <w:r>
              <w:t>AHC3XX27 Certificate III in Agricultural Production</w:t>
            </w:r>
          </w:p>
        </w:tc>
        <w:tc>
          <w:tcPr>
            <w:tcW w:w="4508" w:type="dxa"/>
            <w:tcBorders>
              <w:top w:val="single" w:sz="12" w:space="0" w:color="538135"/>
              <w:bottom w:val="single" w:sz="4" w:space="0" w:color="538135"/>
            </w:tcBorders>
          </w:tcPr>
          <w:p w14:paraId="0DE2F4AA" w14:textId="77777777" w:rsidR="008C2B45" w:rsidRPr="003B288A" w:rsidRDefault="008C2B45" w:rsidP="008C2B45">
            <w:pPr>
              <w:pStyle w:val="SITabletext"/>
              <w:numPr>
                <w:ilvl w:val="0"/>
                <w:numId w:val="9"/>
              </w:numPr>
            </w:pPr>
            <w:r w:rsidRPr="003B288A">
              <w:t>Agriculturalist</w:t>
            </w:r>
          </w:p>
          <w:p w14:paraId="56D0C82B" w14:textId="77777777" w:rsidR="008C2B45" w:rsidRPr="003B288A" w:rsidRDefault="008C2B45" w:rsidP="008C2B45">
            <w:pPr>
              <w:pStyle w:val="SITabletext"/>
              <w:numPr>
                <w:ilvl w:val="0"/>
                <w:numId w:val="9"/>
              </w:numPr>
            </w:pPr>
            <w:r w:rsidRPr="003B288A">
              <w:t>Agricultural tradesperson</w:t>
            </w:r>
          </w:p>
          <w:p w14:paraId="229BEC1F" w14:textId="77777777" w:rsidR="008C2B45" w:rsidRPr="003B288A" w:rsidRDefault="008C2B45" w:rsidP="008C2B45">
            <w:pPr>
              <w:pStyle w:val="SITabletext"/>
              <w:numPr>
                <w:ilvl w:val="0"/>
                <w:numId w:val="9"/>
              </w:numPr>
            </w:pPr>
            <w:r w:rsidRPr="003B288A">
              <w:t>Agricultural technician</w:t>
            </w:r>
          </w:p>
          <w:p w14:paraId="52BE1436" w14:textId="77777777" w:rsidR="008C2B45" w:rsidRPr="003B288A" w:rsidRDefault="008C2B45" w:rsidP="008C2B45">
            <w:pPr>
              <w:pStyle w:val="SITabletext"/>
              <w:numPr>
                <w:ilvl w:val="0"/>
                <w:numId w:val="9"/>
              </w:numPr>
            </w:pPr>
            <w:r w:rsidRPr="003B288A">
              <w:t>Agricultural specialist</w:t>
            </w:r>
          </w:p>
          <w:p w14:paraId="611A493C" w14:textId="77777777" w:rsidR="008C2B45" w:rsidRPr="003B288A" w:rsidRDefault="008C2B45" w:rsidP="008C2B45">
            <w:pPr>
              <w:pStyle w:val="SITabletext"/>
              <w:numPr>
                <w:ilvl w:val="0"/>
                <w:numId w:val="9"/>
              </w:numPr>
            </w:pPr>
            <w:r w:rsidRPr="003B288A">
              <w:t>Agricultural contractor</w:t>
            </w:r>
          </w:p>
          <w:p w14:paraId="48787909" w14:textId="77777777" w:rsidR="008C2B45" w:rsidRPr="003B288A" w:rsidRDefault="008C2B45" w:rsidP="008C2B45">
            <w:pPr>
              <w:pStyle w:val="SITabletext"/>
              <w:numPr>
                <w:ilvl w:val="0"/>
                <w:numId w:val="9"/>
              </w:numPr>
            </w:pPr>
            <w:r w:rsidRPr="003B288A">
              <w:t>Senior farm hand</w:t>
            </w:r>
          </w:p>
          <w:p w14:paraId="50C819DF" w14:textId="77777777" w:rsidR="008C2B45" w:rsidRPr="003B288A" w:rsidRDefault="008C2B45" w:rsidP="008C2B45">
            <w:pPr>
              <w:pStyle w:val="SITabletext"/>
              <w:numPr>
                <w:ilvl w:val="0"/>
                <w:numId w:val="9"/>
              </w:numPr>
            </w:pPr>
            <w:r w:rsidRPr="003B288A">
              <w:t>Leading hand</w:t>
            </w:r>
          </w:p>
          <w:p w14:paraId="51192DBA" w14:textId="2795646B" w:rsidR="008C2B45" w:rsidRPr="00964CB9" w:rsidRDefault="008C2B45" w:rsidP="008C2B45">
            <w:pPr>
              <w:pStyle w:val="SITabletext"/>
              <w:numPr>
                <w:ilvl w:val="0"/>
                <w:numId w:val="9"/>
              </w:numPr>
            </w:pPr>
            <w:r w:rsidRPr="003B288A">
              <w:t>Head stockperson</w:t>
            </w:r>
          </w:p>
        </w:tc>
      </w:tr>
    </w:tbl>
    <w:p w14:paraId="1F288274" w14:textId="77777777" w:rsidR="00B6358D" w:rsidRDefault="00B6358D" w:rsidP="00B6358D">
      <w:pPr>
        <w:pStyle w:val="SIBodyText"/>
      </w:pPr>
    </w:p>
    <w:p w14:paraId="3B857D0F" w14:textId="77777777" w:rsidR="008C2B45" w:rsidRPr="007E632E" w:rsidRDefault="008C2B45" w:rsidP="008C2B45">
      <w:pPr>
        <w:pStyle w:val="BodyTextSI"/>
        <w:rPr>
          <w:b/>
          <w:bCs/>
        </w:rPr>
      </w:pPr>
      <w:r>
        <w:rPr>
          <w:b/>
          <w:bCs/>
        </w:rPr>
        <w:t>Dairy</w:t>
      </w:r>
    </w:p>
    <w:tbl>
      <w:tblPr>
        <w:tblW w:w="0" w:type="auto"/>
        <w:tblLook w:val="04A0" w:firstRow="1" w:lastRow="0" w:firstColumn="1" w:lastColumn="0" w:noHBand="0" w:noVBand="1"/>
      </w:tblPr>
      <w:tblGrid>
        <w:gridCol w:w="4508"/>
        <w:gridCol w:w="4508"/>
      </w:tblGrid>
      <w:tr w:rsidR="008C2B45" w:rsidRPr="00442F18" w14:paraId="6F4D1CBC" w14:textId="77777777" w:rsidTr="007A5614">
        <w:tc>
          <w:tcPr>
            <w:tcW w:w="4508" w:type="dxa"/>
            <w:tcBorders>
              <w:top w:val="single" w:sz="12" w:space="0" w:color="538135"/>
              <w:bottom w:val="single" w:sz="12" w:space="0" w:color="538135"/>
            </w:tcBorders>
          </w:tcPr>
          <w:p w14:paraId="0B1B7CF9" w14:textId="77777777" w:rsidR="008C2B45" w:rsidRPr="00964CB9" w:rsidRDefault="008C2B45" w:rsidP="007A5614">
            <w:pPr>
              <w:pStyle w:val="SITableHeading1"/>
            </w:pPr>
            <w:r w:rsidRPr="00964CB9">
              <w:lastRenderedPageBreak/>
              <w:t>Qualification</w:t>
            </w:r>
          </w:p>
        </w:tc>
        <w:tc>
          <w:tcPr>
            <w:tcW w:w="4508" w:type="dxa"/>
            <w:tcBorders>
              <w:top w:val="single" w:sz="12" w:space="0" w:color="538135"/>
              <w:bottom w:val="single" w:sz="12" w:space="0" w:color="538135"/>
            </w:tcBorders>
          </w:tcPr>
          <w:p w14:paraId="38960BBD" w14:textId="77777777" w:rsidR="008C2B45" w:rsidRPr="00964CB9" w:rsidRDefault="008C2B45" w:rsidP="007A5614">
            <w:pPr>
              <w:pStyle w:val="SITableHeading1"/>
            </w:pPr>
            <w:r w:rsidRPr="00964CB9">
              <w:t>Typical occupational outcomes</w:t>
            </w:r>
          </w:p>
        </w:tc>
      </w:tr>
      <w:tr w:rsidR="008C2B45" w:rsidRPr="00442F18" w14:paraId="0520A59A" w14:textId="77777777" w:rsidTr="007A5614">
        <w:tc>
          <w:tcPr>
            <w:tcW w:w="4508" w:type="dxa"/>
            <w:tcBorders>
              <w:top w:val="single" w:sz="12" w:space="0" w:color="538135"/>
              <w:bottom w:val="single" w:sz="4" w:space="0" w:color="538135"/>
            </w:tcBorders>
          </w:tcPr>
          <w:p w14:paraId="7C5458A5" w14:textId="77777777" w:rsidR="008C2B45" w:rsidRPr="0055409E" w:rsidRDefault="008C2B45" w:rsidP="007A5614">
            <w:pPr>
              <w:pStyle w:val="SITabletext"/>
            </w:pPr>
            <w:r>
              <w:t>AHC3XX27 Certificate III in Agricultural Production</w:t>
            </w:r>
          </w:p>
        </w:tc>
        <w:tc>
          <w:tcPr>
            <w:tcW w:w="4508" w:type="dxa"/>
            <w:tcBorders>
              <w:top w:val="single" w:sz="12" w:space="0" w:color="538135"/>
              <w:bottom w:val="single" w:sz="4" w:space="0" w:color="538135"/>
            </w:tcBorders>
          </w:tcPr>
          <w:p w14:paraId="4AD9B7FD" w14:textId="77777777" w:rsidR="008C2B45" w:rsidRPr="003B288A" w:rsidRDefault="008C2B45" w:rsidP="007A5614">
            <w:pPr>
              <w:pStyle w:val="SITabletext"/>
              <w:numPr>
                <w:ilvl w:val="0"/>
                <w:numId w:val="9"/>
              </w:numPr>
            </w:pPr>
            <w:r w:rsidRPr="003B288A">
              <w:t>Agriculturalist</w:t>
            </w:r>
          </w:p>
          <w:p w14:paraId="1D743D1A" w14:textId="77777777" w:rsidR="008C2B45" w:rsidRPr="003B288A" w:rsidRDefault="008C2B45" w:rsidP="007A5614">
            <w:pPr>
              <w:pStyle w:val="SITabletext"/>
              <w:numPr>
                <w:ilvl w:val="0"/>
                <w:numId w:val="9"/>
              </w:numPr>
            </w:pPr>
            <w:r w:rsidRPr="003B288A">
              <w:t>Agricultural tradesperson</w:t>
            </w:r>
          </w:p>
          <w:p w14:paraId="0F58E045" w14:textId="77777777" w:rsidR="008C2B45" w:rsidRPr="003B288A" w:rsidRDefault="008C2B45" w:rsidP="007A5614">
            <w:pPr>
              <w:pStyle w:val="SITabletext"/>
              <w:numPr>
                <w:ilvl w:val="0"/>
                <w:numId w:val="9"/>
              </w:numPr>
            </w:pPr>
            <w:r w:rsidRPr="003B288A">
              <w:t>Agricultural technician</w:t>
            </w:r>
          </w:p>
          <w:p w14:paraId="5FA07807" w14:textId="77777777" w:rsidR="008C2B45" w:rsidRPr="003B288A" w:rsidRDefault="008C2B45" w:rsidP="007A5614">
            <w:pPr>
              <w:pStyle w:val="SITabletext"/>
              <w:numPr>
                <w:ilvl w:val="0"/>
                <w:numId w:val="9"/>
              </w:numPr>
            </w:pPr>
            <w:r w:rsidRPr="003B288A">
              <w:t>Agricultural specialist</w:t>
            </w:r>
          </w:p>
          <w:p w14:paraId="2A2990E4" w14:textId="77777777" w:rsidR="008C2B45" w:rsidRPr="003B288A" w:rsidRDefault="008C2B45" w:rsidP="007A5614">
            <w:pPr>
              <w:pStyle w:val="SITabletext"/>
              <w:numPr>
                <w:ilvl w:val="0"/>
                <w:numId w:val="9"/>
              </w:numPr>
            </w:pPr>
            <w:r w:rsidRPr="003B288A">
              <w:t>Agricultural contractor</w:t>
            </w:r>
          </w:p>
          <w:p w14:paraId="17A84755" w14:textId="77777777" w:rsidR="008C2B45" w:rsidRPr="003B288A" w:rsidRDefault="008C2B45" w:rsidP="007A5614">
            <w:pPr>
              <w:pStyle w:val="SITabletext"/>
              <w:numPr>
                <w:ilvl w:val="0"/>
                <w:numId w:val="9"/>
              </w:numPr>
            </w:pPr>
            <w:r w:rsidRPr="003B288A">
              <w:t>Senior farm hand</w:t>
            </w:r>
          </w:p>
          <w:p w14:paraId="2DC54CD0" w14:textId="77777777" w:rsidR="008C2B45" w:rsidRPr="00964CB9" w:rsidRDefault="008C2B45" w:rsidP="007A5614">
            <w:pPr>
              <w:pStyle w:val="SITabletext"/>
              <w:numPr>
                <w:ilvl w:val="0"/>
                <w:numId w:val="9"/>
              </w:numPr>
            </w:pPr>
            <w:r w:rsidRPr="003B288A">
              <w:t>Leading hand</w:t>
            </w:r>
          </w:p>
        </w:tc>
      </w:tr>
    </w:tbl>
    <w:p w14:paraId="507DB6D9" w14:textId="77777777" w:rsidR="008C2B45" w:rsidRDefault="008C2B45" w:rsidP="008C2B45">
      <w:pPr>
        <w:pStyle w:val="SIBodyText"/>
      </w:pPr>
    </w:p>
    <w:p w14:paraId="01DC7BA0" w14:textId="77777777" w:rsidR="008C2B45" w:rsidRPr="007E632E" w:rsidRDefault="008C2B45" w:rsidP="008C2B45">
      <w:pPr>
        <w:pStyle w:val="BodyTextSI"/>
        <w:rPr>
          <w:b/>
          <w:bCs/>
        </w:rPr>
      </w:pPr>
      <w:r>
        <w:rPr>
          <w:b/>
          <w:bCs/>
        </w:rPr>
        <w:t>Grain production</w:t>
      </w:r>
    </w:p>
    <w:tbl>
      <w:tblPr>
        <w:tblW w:w="0" w:type="auto"/>
        <w:tblLook w:val="04A0" w:firstRow="1" w:lastRow="0" w:firstColumn="1" w:lastColumn="0" w:noHBand="0" w:noVBand="1"/>
      </w:tblPr>
      <w:tblGrid>
        <w:gridCol w:w="4508"/>
        <w:gridCol w:w="4508"/>
      </w:tblGrid>
      <w:tr w:rsidR="008C2B45" w:rsidRPr="00442F18" w14:paraId="4479BF1F" w14:textId="77777777" w:rsidTr="007A5614">
        <w:tc>
          <w:tcPr>
            <w:tcW w:w="4508" w:type="dxa"/>
            <w:tcBorders>
              <w:top w:val="single" w:sz="12" w:space="0" w:color="538135"/>
              <w:bottom w:val="single" w:sz="12" w:space="0" w:color="538135"/>
            </w:tcBorders>
          </w:tcPr>
          <w:p w14:paraId="027F65F9" w14:textId="77777777" w:rsidR="008C2B45" w:rsidRPr="00964CB9" w:rsidRDefault="008C2B45" w:rsidP="007A5614">
            <w:pPr>
              <w:pStyle w:val="SITableHeading1"/>
            </w:pPr>
            <w:r w:rsidRPr="00964CB9">
              <w:t>Qualification</w:t>
            </w:r>
          </w:p>
        </w:tc>
        <w:tc>
          <w:tcPr>
            <w:tcW w:w="4508" w:type="dxa"/>
            <w:tcBorders>
              <w:top w:val="single" w:sz="12" w:space="0" w:color="538135"/>
              <w:bottom w:val="single" w:sz="12" w:space="0" w:color="538135"/>
            </w:tcBorders>
          </w:tcPr>
          <w:p w14:paraId="6C77A174" w14:textId="77777777" w:rsidR="008C2B45" w:rsidRPr="00964CB9" w:rsidRDefault="008C2B45" w:rsidP="007A5614">
            <w:pPr>
              <w:pStyle w:val="SITableHeading1"/>
            </w:pPr>
            <w:r w:rsidRPr="00964CB9">
              <w:t>Typical occupational outcomes</w:t>
            </w:r>
          </w:p>
        </w:tc>
      </w:tr>
      <w:tr w:rsidR="008C2B45" w:rsidRPr="00442F18" w14:paraId="77F09FCC" w14:textId="77777777" w:rsidTr="007A5614">
        <w:tc>
          <w:tcPr>
            <w:tcW w:w="4508" w:type="dxa"/>
            <w:tcBorders>
              <w:top w:val="single" w:sz="12" w:space="0" w:color="538135"/>
              <w:bottom w:val="single" w:sz="4" w:space="0" w:color="538135"/>
            </w:tcBorders>
          </w:tcPr>
          <w:p w14:paraId="0DA5CE53" w14:textId="77777777" w:rsidR="008C2B45" w:rsidRPr="0055409E" w:rsidRDefault="008C2B45" w:rsidP="007A5614">
            <w:pPr>
              <w:pStyle w:val="SITabletext"/>
            </w:pPr>
            <w:r>
              <w:t>AHC3XX27 Certificate III in Agricultural Production</w:t>
            </w:r>
          </w:p>
        </w:tc>
        <w:tc>
          <w:tcPr>
            <w:tcW w:w="4508" w:type="dxa"/>
            <w:tcBorders>
              <w:top w:val="single" w:sz="12" w:space="0" w:color="538135"/>
              <w:bottom w:val="single" w:sz="4" w:space="0" w:color="538135"/>
            </w:tcBorders>
          </w:tcPr>
          <w:p w14:paraId="2CE8F343" w14:textId="77777777" w:rsidR="008C2B45" w:rsidRPr="003B288A" w:rsidRDefault="008C2B45" w:rsidP="007A5614">
            <w:pPr>
              <w:pStyle w:val="SITabletext"/>
              <w:numPr>
                <w:ilvl w:val="0"/>
                <w:numId w:val="9"/>
              </w:numPr>
            </w:pPr>
            <w:r w:rsidRPr="003B288A">
              <w:t>Agriculturalist</w:t>
            </w:r>
          </w:p>
          <w:p w14:paraId="7FC91226" w14:textId="77777777" w:rsidR="008C2B45" w:rsidRPr="003B288A" w:rsidRDefault="008C2B45" w:rsidP="007A5614">
            <w:pPr>
              <w:pStyle w:val="SITabletext"/>
              <w:numPr>
                <w:ilvl w:val="0"/>
                <w:numId w:val="9"/>
              </w:numPr>
            </w:pPr>
            <w:r w:rsidRPr="003B288A">
              <w:t>Agricultural tradesperson</w:t>
            </w:r>
          </w:p>
          <w:p w14:paraId="5FCA4093" w14:textId="77777777" w:rsidR="008C2B45" w:rsidRPr="003B288A" w:rsidRDefault="008C2B45" w:rsidP="007A5614">
            <w:pPr>
              <w:pStyle w:val="SITabletext"/>
              <w:numPr>
                <w:ilvl w:val="0"/>
                <w:numId w:val="9"/>
              </w:numPr>
            </w:pPr>
            <w:r w:rsidRPr="003B288A">
              <w:t>Agricultural technician</w:t>
            </w:r>
          </w:p>
          <w:p w14:paraId="6D1C4282" w14:textId="77777777" w:rsidR="008C2B45" w:rsidRPr="003B288A" w:rsidRDefault="008C2B45" w:rsidP="007A5614">
            <w:pPr>
              <w:pStyle w:val="SITabletext"/>
              <w:numPr>
                <w:ilvl w:val="0"/>
                <w:numId w:val="9"/>
              </w:numPr>
            </w:pPr>
            <w:r w:rsidRPr="003B288A">
              <w:t>Agricultural specialist</w:t>
            </w:r>
          </w:p>
          <w:p w14:paraId="70305FC6" w14:textId="77777777" w:rsidR="008C2B45" w:rsidRPr="003B288A" w:rsidRDefault="008C2B45" w:rsidP="007A5614">
            <w:pPr>
              <w:pStyle w:val="SITabletext"/>
              <w:numPr>
                <w:ilvl w:val="0"/>
                <w:numId w:val="9"/>
              </w:numPr>
            </w:pPr>
            <w:r w:rsidRPr="003B288A">
              <w:t>Agricultural contractor</w:t>
            </w:r>
          </w:p>
          <w:p w14:paraId="0AD71429" w14:textId="77777777" w:rsidR="008C2B45" w:rsidRPr="003B288A" w:rsidRDefault="008C2B45" w:rsidP="007A5614">
            <w:pPr>
              <w:pStyle w:val="SITabletext"/>
              <w:numPr>
                <w:ilvl w:val="0"/>
                <w:numId w:val="9"/>
              </w:numPr>
            </w:pPr>
            <w:r w:rsidRPr="003B288A">
              <w:t>Senior farm hand</w:t>
            </w:r>
          </w:p>
          <w:p w14:paraId="782D2BA7" w14:textId="77777777" w:rsidR="008C2B45" w:rsidRPr="00964CB9" w:rsidRDefault="008C2B45" w:rsidP="007A5614">
            <w:pPr>
              <w:pStyle w:val="SITabletext"/>
              <w:numPr>
                <w:ilvl w:val="0"/>
                <w:numId w:val="9"/>
              </w:numPr>
            </w:pPr>
            <w:r w:rsidRPr="003B288A">
              <w:t>Leading hand</w:t>
            </w:r>
          </w:p>
        </w:tc>
      </w:tr>
    </w:tbl>
    <w:p w14:paraId="729FB4D4" w14:textId="77777777" w:rsidR="00B6358D" w:rsidRDefault="00B6358D" w:rsidP="009A57CF">
      <w:pPr>
        <w:pStyle w:val="BodyTextSI"/>
      </w:pPr>
    </w:p>
    <w:p w14:paraId="7AEB38CF" w14:textId="77777777" w:rsidR="00B6358D" w:rsidRPr="00442F18" w:rsidRDefault="00B6358D" w:rsidP="00746BA6">
      <w:pPr>
        <w:pStyle w:val="Heading2SI"/>
      </w:pPr>
      <w:r w:rsidRPr="00442F18">
        <w:t>Entry requirements for qualifications</w:t>
      </w:r>
    </w:p>
    <w:p w14:paraId="2CEF68B8" w14:textId="77777777" w:rsidR="00B6358D" w:rsidRDefault="00B6358D" w:rsidP="00B6358D">
      <w:pPr>
        <w:pStyle w:val="BodyTextSI"/>
      </w:pPr>
      <w:r w:rsidRPr="00442F18">
        <w:t xml:space="preserve">Any specific entry requirements for qualifications in the </w:t>
      </w:r>
      <w:r w:rsidRPr="00442F18">
        <w:rPr>
          <w:rStyle w:val="SIBodyitalics"/>
          <w:iCs/>
        </w:rPr>
        <w:t>AHC Agriculture, Horticulture and Conservation and Land Management</w:t>
      </w:r>
      <w:r w:rsidRPr="00442F18">
        <w:rPr>
          <w:rStyle w:val="SIBodyitalics"/>
        </w:rPr>
        <w:t xml:space="preserve"> Training Package </w:t>
      </w:r>
      <w:r w:rsidRPr="00442F18">
        <w:t xml:space="preserve">are included in each qualification. The entry requirements ensure an individual has the skills and knowledge required to undertake the qualification. </w:t>
      </w:r>
    </w:p>
    <w:tbl>
      <w:tblPr>
        <w:tblW w:w="0" w:type="auto"/>
        <w:tblInd w:w="108" w:type="dxa"/>
        <w:tblLook w:val="04A0" w:firstRow="1" w:lastRow="0" w:firstColumn="1" w:lastColumn="0" w:noHBand="0" w:noVBand="1"/>
      </w:tblPr>
      <w:tblGrid>
        <w:gridCol w:w="2972"/>
        <w:gridCol w:w="6100"/>
      </w:tblGrid>
      <w:tr w:rsidR="00746BA6" w:rsidRPr="001E0A66" w14:paraId="72AC358A" w14:textId="77777777" w:rsidTr="002C17DE">
        <w:tc>
          <w:tcPr>
            <w:tcW w:w="2972" w:type="dxa"/>
            <w:tcBorders>
              <w:top w:val="single" w:sz="18" w:space="0" w:color="4C7D2C"/>
              <w:bottom w:val="single" w:sz="18" w:space="0" w:color="4C7D2C"/>
            </w:tcBorders>
          </w:tcPr>
          <w:p w14:paraId="0558C96C" w14:textId="77777777" w:rsidR="00746BA6" w:rsidRPr="001E0A66" w:rsidRDefault="00746BA6" w:rsidP="002C17DE">
            <w:pPr>
              <w:pStyle w:val="SITableHeading1"/>
            </w:pPr>
            <w:r w:rsidRPr="001E0A66">
              <w:t>Qualification</w:t>
            </w:r>
          </w:p>
        </w:tc>
        <w:tc>
          <w:tcPr>
            <w:tcW w:w="6100" w:type="dxa"/>
            <w:tcBorders>
              <w:top w:val="single" w:sz="18" w:space="0" w:color="4C7D2C"/>
              <w:bottom w:val="single" w:sz="18" w:space="0" w:color="4C7D2C"/>
            </w:tcBorders>
          </w:tcPr>
          <w:p w14:paraId="3A33DCD9" w14:textId="77777777" w:rsidR="00746BA6" w:rsidRPr="001E0A66" w:rsidRDefault="00746BA6" w:rsidP="002C17DE">
            <w:pPr>
              <w:pStyle w:val="SITableHeading1"/>
            </w:pPr>
            <w:r w:rsidRPr="001E0A66">
              <w:t>Entry requirements</w:t>
            </w:r>
          </w:p>
        </w:tc>
      </w:tr>
      <w:tr w:rsidR="008C2B45" w:rsidRPr="001E0A66" w14:paraId="2794B7C8" w14:textId="77777777" w:rsidTr="002C17DE">
        <w:tc>
          <w:tcPr>
            <w:tcW w:w="2972" w:type="dxa"/>
            <w:tcBorders>
              <w:top w:val="single" w:sz="18" w:space="0" w:color="4C7D2C"/>
              <w:bottom w:val="single" w:sz="12" w:space="0" w:color="4C7D2C"/>
            </w:tcBorders>
          </w:tcPr>
          <w:p w14:paraId="538EDEA0" w14:textId="675B9667" w:rsidR="008C2B45" w:rsidRDefault="008C2B45" w:rsidP="008C2B45">
            <w:pPr>
              <w:pStyle w:val="SITabletext"/>
            </w:pPr>
            <w:r>
              <w:t>AHC3XX27 Certificate III in Agricultural Production</w:t>
            </w:r>
          </w:p>
        </w:tc>
        <w:tc>
          <w:tcPr>
            <w:tcW w:w="6100" w:type="dxa"/>
            <w:tcBorders>
              <w:top w:val="single" w:sz="18" w:space="0" w:color="4C7D2C"/>
              <w:bottom w:val="single" w:sz="4" w:space="0" w:color="4C7D2C"/>
            </w:tcBorders>
          </w:tcPr>
          <w:p w14:paraId="2AFF84C1" w14:textId="412F221F" w:rsidR="008C2B45" w:rsidRPr="00930E68" w:rsidRDefault="008C2B45" w:rsidP="008C2B45">
            <w:pPr>
              <w:pStyle w:val="SITabletext"/>
            </w:pPr>
            <w:r>
              <w:t>Not applicable</w:t>
            </w:r>
          </w:p>
        </w:tc>
      </w:tr>
    </w:tbl>
    <w:p w14:paraId="63851A64" w14:textId="77777777" w:rsidR="00746BA6" w:rsidRDefault="00746BA6" w:rsidP="00B6358D">
      <w:pPr>
        <w:pStyle w:val="BodyTextSI"/>
      </w:pPr>
    </w:p>
    <w:p w14:paraId="58554E38" w14:textId="10190728" w:rsidR="00844F15" w:rsidRDefault="00632F78" w:rsidP="00380B28">
      <w:pPr>
        <w:pStyle w:val="BodyTextSI"/>
        <w:rPr>
          <w:rFonts w:ascii="Avenir Medium" w:eastAsiaTheme="majorEastAsia" w:hAnsi="Avenir Medium" w:cstheme="majorBidi"/>
          <w:b/>
          <w:bCs/>
          <w:sz w:val="48"/>
          <w:szCs w:val="48"/>
        </w:rPr>
      </w:pPr>
      <w:r w:rsidRPr="00632F78">
        <w:rPr>
          <w:rFonts w:ascii="Avenir Medium" w:eastAsiaTheme="majorEastAsia" w:hAnsi="Avenir Medium" w:cstheme="majorBidi"/>
          <w:b/>
          <w:bCs/>
          <w:sz w:val="48"/>
          <w:szCs w:val="48"/>
        </w:rPr>
        <w:lastRenderedPageBreak/>
        <w:t>Choosing electives for specialisations</w:t>
      </w:r>
    </w:p>
    <w:p w14:paraId="7567A01B" w14:textId="77777777" w:rsidR="004D4235" w:rsidRDefault="004D4235" w:rsidP="004D4235">
      <w:pPr>
        <w:pStyle w:val="BodyTextSI"/>
      </w:pPr>
      <w:r>
        <w:t>Electives must be chosen to ensure the integrity and occupational outcomes of the qualification. In almost all qualifications, the packaging rules will have been deliberately written to prevent an RTO from delivering a qualification totally comprised of ‘easy options’ (i.e., to make the delivery of the qualification easier at the expense of disregarding the occupational outcomes required by the job role, workplace requirements and industry practices).</w:t>
      </w:r>
    </w:p>
    <w:p w14:paraId="05D28AEE" w14:textId="23761E27" w:rsidR="00C60BA2" w:rsidRDefault="004D4235" w:rsidP="004D4235">
      <w:pPr>
        <w:pStyle w:val="BodyTextSI"/>
        <w:rPr>
          <w:rFonts w:ascii="Avenir Medium" w:eastAsiaTheme="majorEastAsia" w:hAnsi="Avenir Medium" w:cstheme="majorBidi"/>
          <w:b/>
          <w:bCs/>
          <w:sz w:val="48"/>
          <w:szCs w:val="48"/>
        </w:rPr>
      </w:pPr>
      <w:r>
        <w:t xml:space="preserve">Where the packaging rules might make this possible, the RTO must structure the electives to ensure the integrity of the qualification is not </w:t>
      </w:r>
      <w:proofErr w:type="gramStart"/>
      <w:r>
        <w:t>compromised, and</w:t>
      </w:r>
      <w:proofErr w:type="gramEnd"/>
      <w:r>
        <w:t xml:space="preserve"> will deliver to the individual the outcomes required by the workplace and job role, not make it easier for the RTO to deliver and assess.</w:t>
      </w:r>
    </w:p>
    <w:tbl>
      <w:tblPr>
        <w:tblW w:w="0" w:type="auto"/>
        <w:tblLook w:val="04A0" w:firstRow="1" w:lastRow="0" w:firstColumn="1" w:lastColumn="0" w:noHBand="0" w:noVBand="1"/>
      </w:tblPr>
      <w:tblGrid>
        <w:gridCol w:w="3080"/>
        <w:gridCol w:w="2307"/>
        <w:gridCol w:w="3827"/>
      </w:tblGrid>
      <w:tr w:rsidR="00C60BA2" w:rsidRPr="001E0A66" w14:paraId="711873C4" w14:textId="77777777" w:rsidTr="00B25980">
        <w:tc>
          <w:tcPr>
            <w:tcW w:w="3080" w:type="dxa"/>
            <w:tcBorders>
              <w:top w:val="single" w:sz="18" w:space="0" w:color="4C7D2C"/>
              <w:bottom w:val="single" w:sz="18" w:space="0" w:color="4C7D2C"/>
            </w:tcBorders>
          </w:tcPr>
          <w:p w14:paraId="2ED46950" w14:textId="77777777" w:rsidR="00C60BA2" w:rsidRPr="001E0A66" w:rsidRDefault="00C60BA2" w:rsidP="00B25980">
            <w:pPr>
              <w:pStyle w:val="SITableHeading1"/>
            </w:pPr>
            <w:r w:rsidRPr="001E0A66">
              <w:t>Qualification</w:t>
            </w:r>
          </w:p>
        </w:tc>
        <w:tc>
          <w:tcPr>
            <w:tcW w:w="2307" w:type="dxa"/>
            <w:tcBorders>
              <w:top w:val="single" w:sz="18" w:space="0" w:color="4C7D2C"/>
              <w:bottom w:val="single" w:sz="18" w:space="0" w:color="4C7D2C"/>
            </w:tcBorders>
          </w:tcPr>
          <w:p w14:paraId="25D8DCCF" w14:textId="77777777" w:rsidR="00C60BA2" w:rsidRPr="001E0A66" w:rsidRDefault="00C60BA2" w:rsidP="00B25980">
            <w:pPr>
              <w:pStyle w:val="SITableHeading1"/>
            </w:pPr>
            <w:r w:rsidRPr="001E0A66">
              <w:t>Specialisation</w:t>
            </w:r>
          </w:p>
        </w:tc>
        <w:tc>
          <w:tcPr>
            <w:tcW w:w="3827" w:type="dxa"/>
            <w:tcBorders>
              <w:top w:val="single" w:sz="18" w:space="0" w:color="4C7D2C"/>
              <w:bottom w:val="single" w:sz="18" w:space="0" w:color="4C7D2C"/>
            </w:tcBorders>
          </w:tcPr>
          <w:p w14:paraId="0B9BBFC4" w14:textId="77777777" w:rsidR="00C60BA2" w:rsidRPr="001E0A66" w:rsidRDefault="00C60BA2" w:rsidP="00B25980">
            <w:pPr>
              <w:pStyle w:val="SITableHeading1"/>
            </w:pPr>
            <w:r w:rsidRPr="001E0A66">
              <w:t>Mandatory elective choices</w:t>
            </w:r>
          </w:p>
        </w:tc>
      </w:tr>
      <w:tr w:rsidR="008C2B45" w14:paraId="0C8664DA" w14:textId="77777777" w:rsidTr="00B25980">
        <w:tc>
          <w:tcPr>
            <w:tcW w:w="3080" w:type="dxa"/>
            <w:tcBorders>
              <w:top w:val="single" w:sz="18" w:space="0" w:color="4C7D2C"/>
            </w:tcBorders>
          </w:tcPr>
          <w:p w14:paraId="521E192E" w14:textId="6D99CCFE" w:rsidR="008C2B45" w:rsidRDefault="008C2B45" w:rsidP="008C2B45">
            <w:pPr>
              <w:pStyle w:val="SITableBody"/>
            </w:pPr>
            <w:r>
              <w:t>AHC3XX27 Certificate III in Agricultural Production</w:t>
            </w:r>
          </w:p>
        </w:tc>
        <w:tc>
          <w:tcPr>
            <w:tcW w:w="2307" w:type="dxa"/>
            <w:tcBorders>
              <w:top w:val="single" w:sz="18" w:space="0" w:color="4C7D2C"/>
            </w:tcBorders>
          </w:tcPr>
          <w:p w14:paraId="67B8DC64" w14:textId="405A1D57" w:rsidR="008C2B45" w:rsidRDefault="008C2B45" w:rsidP="008C2B45">
            <w:pPr>
              <w:pStyle w:val="SITableBody"/>
            </w:pPr>
            <w:r>
              <w:t>Broadacre Cropping</w:t>
            </w:r>
          </w:p>
        </w:tc>
        <w:tc>
          <w:tcPr>
            <w:tcW w:w="3827" w:type="dxa"/>
            <w:tcBorders>
              <w:top w:val="single" w:sz="18" w:space="0" w:color="4C7D2C"/>
            </w:tcBorders>
          </w:tcPr>
          <w:p w14:paraId="7D247743" w14:textId="53CF8961" w:rsidR="00496BD7" w:rsidRDefault="00FF29CE" w:rsidP="008C2B45">
            <w:pPr>
              <w:pStyle w:val="SIBodybullet"/>
              <w:numPr>
                <w:ilvl w:val="0"/>
                <w:numId w:val="0"/>
              </w:numPr>
              <w:ind w:left="360" w:hanging="360"/>
            </w:pPr>
            <w:r>
              <w:t>The following 6 units:</w:t>
            </w:r>
          </w:p>
          <w:p w14:paraId="32885987" w14:textId="2D2DF859" w:rsidR="00FF29CE" w:rsidRDefault="00FF29CE" w:rsidP="00140307">
            <w:pPr>
              <w:pStyle w:val="SIBodybullet"/>
            </w:pPr>
            <w:r>
              <w:t>AHCBAC315 Establish agricultural crops</w:t>
            </w:r>
          </w:p>
          <w:p w14:paraId="19D47878" w14:textId="1D9BAAAD" w:rsidR="00FF29CE" w:rsidRDefault="00FF29CE" w:rsidP="00EE4F62">
            <w:pPr>
              <w:pStyle w:val="SIBodybullet"/>
            </w:pPr>
            <w:r>
              <w:t>AHCBAC316 Maintain agricultural crops</w:t>
            </w:r>
          </w:p>
          <w:p w14:paraId="3342650D" w14:textId="75122B72" w:rsidR="00FF29CE" w:rsidRDefault="00FF29CE" w:rsidP="008605FA">
            <w:pPr>
              <w:pStyle w:val="SIBodybullet"/>
            </w:pPr>
            <w:r>
              <w:t>AHCBAC317 Undertake agricultural crop harvesting activities</w:t>
            </w:r>
          </w:p>
          <w:p w14:paraId="404ED10E" w14:textId="5F29EA35" w:rsidR="00FF29CE" w:rsidRDefault="00FF29CE" w:rsidP="00A62785">
            <w:pPr>
              <w:pStyle w:val="SIBodybullet"/>
            </w:pPr>
            <w:r>
              <w:t>AHCMOM302 Perform machinery maintenance</w:t>
            </w:r>
          </w:p>
          <w:p w14:paraId="430A2C2B" w14:textId="59781A4F" w:rsidR="00FF29CE" w:rsidRDefault="00FF29CE" w:rsidP="00E47934">
            <w:pPr>
              <w:pStyle w:val="SIBodybullet"/>
            </w:pPr>
            <w:r>
              <w:t>AHCMOM311 Operate precision control technology</w:t>
            </w:r>
          </w:p>
          <w:p w14:paraId="0C67C116" w14:textId="366AFF58" w:rsidR="00FF29CE" w:rsidRDefault="00FF29CE" w:rsidP="00656EAC">
            <w:pPr>
              <w:pStyle w:val="SIBodybullet"/>
            </w:pPr>
            <w:r>
              <w:t>AHCWRK314 Monitor weather conditions</w:t>
            </w:r>
          </w:p>
          <w:p w14:paraId="016ECE3B" w14:textId="5D1C64AC" w:rsidR="00FF29CE" w:rsidRDefault="00FF29CE" w:rsidP="00656EAC">
            <w:pPr>
              <w:pStyle w:val="SIBodybullet"/>
              <w:numPr>
                <w:ilvl w:val="0"/>
                <w:numId w:val="0"/>
              </w:numPr>
            </w:pPr>
            <w:r>
              <w:t>Plus 4 units from the remaining units listed in groups A, B, C, or D</w:t>
            </w:r>
          </w:p>
          <w:p w14:paraId="5914C2EA" w14:textId="4E73A1B6" w:rsidR="008C2B45" w:rsidRDefault="00FF29CE" w:rsidP="00656EAC">
            <w:pPr>
              <w:pStyle w:val="SIBodybullet"/>
              <w:numPr>
                <w:ilvl w:val="0"/>
                <w:numId w:val="0"/>
              </w:numPr>
            </w:pPr>
            <w:r>
              <w:t>Plus 3 units from the remaining units listed in groups A, B, C, D, or E, or any currently endorsed Training Package or accredited course.</w:t>
            </w:r>
          </w:p>
        </w:tc>
      </w:tr>
      <w:tr w:rsidR="008C2B45" w14:paraId="62DFE82F" w14:textId="77777777" w:rsidTr="00656EAC">
        <w:tc>
          <w:tcPr>
            <w:tcW w:w="3080" w:type="dxa"/>
            <w:tcBorders>
              <w:top w:val="single" w:sz="12" w:space="0" w:color="4C7D2C"/>
              <w:bottom w:val="single" w:sz="12" w:space="0" w:color="4C7D2C"/>
            </w:tcBorders>
          </w:tcPr>
          <w:p w14:paraId="1AD7AA82" w14:textId="55FE8028" w:rsidR="008C2B45" w:rsidRDefault="008C2B45" w:rsidP="008C2B45">
            <w:pPr>
              <w:pStyle w:val="SITableBody"/>
            </w:pPr>
          </w:p>
        </w:tc>
        <w:tc>
          <w:tcPr>
            <w:tcW w:w="2307" w:type="dxa"/>
            <w:tcBorders>
              <w:top w:val="single" w:sz="4" w:space="0" w:color="4C7D2C"/>
              <w:bottom w:val="single" w:sz="4" w:space="0" w:color="4C7D2C"/>
            </w:tcBorders>
          </w:tcPr>
          <w:p w14:paraId="5EB4F040" w14:textId="05A8E219" w:rsidR="008C2B45" w:rsidRDefault="008C2B45" w:rsidP="008C2B45">
            <w:pPr>
              <w:pStyle w:val="SITableBody"/>
            </w:pPr>
            <w:r>
              <w:t>Dairy Production</w:t>
            </w:r>
          </w:p>
        </w:tc>
        <w:tc>
          <w:tcPr>
            <w:tcW w:w="3827" w:type="dxa"/>
            <w:tcBorders>
              <w:top w:val="single" w:sz="4" w:space="0" w:color="4C7D2C"/>
              <w:bottom w:val="single" w:sz="4" w:space="0" w:color="4C7D2C"/>
            </w:tcBorders>
          </w:tcPr>
          <w:p w14:paraId="3D75EF2E" w14:textId="77777777" w:rsidR="00FF29CE" w:rsidRDefault="00FF29CE" w:rsidP="00FF29CE">
            <w:pPr>
              <w:pStyle w:val="SIBodybullet"/>
              <w:numPr>
                <w:ilvl w:val="0"/>
                <w:numId w:val="0"/>
              </w:numPr>
              <w:ind w:left="360" w:hanging="360"/>
            </w:pPr>
            <w:r>
              <w:t>The following 6 units:</w:t>
            </w:r>
          </w:p>
          <w:p w14:paraId="58E11A41" w14:textId="66221F82" w:rsidR="00FF29CE" w:rsidRDefault="00FF29CE" w:rsidP="007065DE">
            <w:pPr>
              <w:pStyle w:val="SIBodybullet"/>
            </w:pPr>
            <w:r>
              <w:t>AHCDRY202 Milk Livestock</w:t>
            </w:r>
          </w:p>
          <w:p w14:paraId="2B000093" w14:textId="02994508" w:rsidR="00FF29CE" w:rsidRDefault="00FF29CE" w:rsidP="001104C5">
            <w:pPr>
              <w:pStyle w:val="SIBodybullet"/>
            </w:pPr>
            <w:r>
              <w:t>AHCDRY303 Coordinate and monitor milking operations</w:t>
            </w:r>
          </w:p>
          <w:p w14:paraId="63E63EB3" w14:textId="49B84875" w:rsidR="00FF29CE" w:rsidRDefault="00FF29CE" w:rsidP="004A28B7">
            <w:pPr>
              <w:pStyle w:val="SIBodybullet"/>
            </w:pPr>
            <w:r>
              <w:t xml:space="preserve">AHCLSK330 Implement procedures for calving </w:t>
            </w:r>
          </w:p>
          <w:p w14:paraId="0A7B3703" w14:textId="6D422094" w:rsidR="00FF29CE" w:rsidRDefault="00FF29CE" w:rsidP="00A847EC">
            <w:pPr>
              <w:pStyle w:val="SIBodybullet"/>
            </w:pPr>
            <w:r>
              <w:t>AHCLSK344 Administer treatments to livestock</w:t>
            </w:r>
          </w:p>
          <w:p w14:paraId="1F5C388A" w14:textId="40173AA4" w:rsidR="00FF29CE" w:rsidRDefault="00FF29CE" w:rsidP="009B486E">
            <w:pPr>
              <w:pStyle w:val="SIBodybullet"/>
            </w:pPr>
            <w:r>
              <w:t>AHCLSK353 Implement feeding plans for livestock</w:t>
            </w:r>
          </w:p>
          <w:p w14:paraId="678CE5CA" w14:textId="2EA3BEE7" w:rsidR="00FF29CE" w:rsidRDefault="00FF29CE" w:rsidP="006D68BB">
            <w:pPr>
              <w:pStyle w:val="SIBodybullet"/>
            </w:pPr>
            <w:r>
              <w:lastRenderedPageBreak/>
              <w:t>AHCLSK357 Rear newborn and young livestock</w:t>
            </w:r>
          </w:p>
          <w:p w14:paraId="318ABB68" w14:textId="05269D30" w:rsidR="00FF29CE" w:rsidRDefault="00FF29CE" w:rsidP="000F52B4">
            <w:pPr>
              <w:pStyle w:val="SIBodybullet"/>
            </w:pPr>
            <w:r>
              <w:t>AHCLSK368 Comply with industry animal welfare requirements</w:t>
            </w:r>
          </w:p>
          <w:p w14:paraId="403A67A7" w14:textId="19140EDC" w:rsidR="00FF29CE" w:rsidRDefault="00FF29CE" w:rsidP="00656EAC">
            <w:pPr>
              <w:pStyle w:val="SITableBody"/>
            </w:pPr>
            <w:r>
              <w:t>Plus 4 units from the remaining units listed in groups A, B, C, or D</w:t>
            </w:r>
          </w:p>
          <w:p w14:paraId="6C35B14E" w14:textId="34E2D36F" w:rsidR="008C2B45" w:rsidRDefault="00FF29CE" w:rsidP="00656EAC">
            <w:pPr>
              <w:pStyle w:val="SITableBody"/>
            </w:pPr>
            <w:r>
              <w:t>Plus 3 units from the remaining units listed in groups A, B, C, D, or E, or any currently endorsed Training Package or accredited course.</w:t>
            </w:r>
          </w:p>
        </w:tc>
      </w:tr>
      <w:tr w:rsidR="00FF29CE" w14:paraId="76836FC6" w14:textId="77777777" w:rsidTr="00B25980">
        <w:tc>
          <w:tcPr>
            <w:tcW w:w="3080" w:type="dxa"/>
            <w:tcBorders>
              <w:top w:val="single" w:sz="12" w:space="0" w:color="4C7D2C"/>
            </w:tcBorders>
          </w:tcPr>
          <w:p w14:paraId="541D48FE" w14:textId="77777777" w:rsidR="00FF29CE" w:rsidRDefault="00FF29CE" w:rsidP="00FF29CE">
            <w:pPr>
              <w:pStyle w:val="SITableBody"/>
            </w:pPr>
          </w:p>
        </w:tc>
        <w:tc>
          <w:tcPr>
            <w:tcW w:w="2307" w:type="dxa"/>
            <w:tcBorders>
              <w:top w:val="single" w:sz="4" w:space="0" w:color="4C7D2C"/>
              <w:bottom w:val="single" w:sz="4" w:space="0" w:color="4C7D2C"/>
            </w:tcBorders>
          </w:tcPr>
          <w:p w14:paraId="02861C4F" w14:textId="5A1F15C1" w:rsidR="00FF29CE" w:rsidRDefault="00FF29CE" w:rsidP="00FF29CE">
            <w:pPr>
              <w:pStyle w:val="SITableBody"/>
            </w:pPr>
            <w:r>
              <w:t xml:space="preserve">Livestock Production </w:t>
            </w:r>
          </w:p>
        </w:tc>
        <w:tc>
          <w:tcPr>
            <w:tcW w:w="3827" w:type="dxa"/>
            <w:tcBorders>
              <w:top w:val="single" w:sz="4" w:space="0" w:color="4C7D2C"/>
              <w:bottom w:val="single" w:sz="4" w:space="0" w:color="4C7D2C"/>
            </w:tcBorders>
          </w:tcPr>
          <w:p w14:paraId="0F001784" w14:textId="77777777" w:rsidR="00FF29CE" w:rsidRDefault="00FF29CE" w:rsidP="00FF29CE">
            <w:pPr>
              <w:pStyle w:val="SIBodybullet"/>
              <w:numPr>
                <w:ilvl w:val="0"/>
                <w:numId w:val="0"/>
              </w:numPr>
              <w:ind w:left="360" w:hanging="360"/>
            </w:pPr>
            <w:r>
              <w:t>The following 6 units:</w:t>
            </w:r>
          </w:p>
          <w:p w14:paraId="56400799" w14:textId="44825C36" w:rsidR="00FF29CE" w:rsidRDefault="00FF29CE" w:rsidP="00633E6F">
            <w:pPr>
              <w:pStyle w:val="SIBodybullet"/>
            </w:pPr>
            <w:r>
              <w:t>AHCBAC318 Maintain pastures and crops for livestock production</w:t>
            </w:r>
          </w:p>
          <w:p w14:paraId="7E80FA9C" w14:textId="13CCAAD2" w:rsidR="00FF29CE" w:rsidRDefault="00FF29CE" w:rsidP="00C45C9B">
            <w:pPr>
              <w:pStyle w:val="SIBodybullet"/>
            </w:pPr>
            <w:r>
              <w:t>AHCLSK342 Prepare animals for parturition</w:t>
            </w:r>
          </w:p>
          <w:p w14:paraId="6C56B155" w14:textId="73402F2F" w:rsidR="00FF29CE" w:rsidRDefault="00FF29CE" w:rsidP="008777B9">
            <w:pPr>
              <w:pStyle w:val="SIBodybullet"/>
            </w:pPr>
            <w:r>
              <w:t>AHCLSK344 Administer treatments to livestock</w:t>
            </w:r>
          </w:p>
          <w:p w14:paraId="60E2EB3D" w14:textId="598A59DB" w:rsidR="00FF29CE" w:rsidRDefault="00FF29CE" w:rsidP="00754AA5">
            <w:pPr>
              <w:pStyle w:val="SIBodybullet"/>
            </w:pPr>
            <w:r>
              <w:t>AHCLSK353 Implement feeding plans for livestock</w:t>
            </w:r>
          </w:p>
          <w:p w14:paraId="287B0BBA" w14:textId="4DB3DF3C" w:rsidR="00FF29CE" w:rsidRDefault="00FF29CE" w:rsidP="000E58DD">
            <w:pPr>
              <w:pStyle w:val="SIBodybullet"/>
            </w:pPr>
            <w:r>
              <w:t>AHCLSK368 Comply with industry animal welfare requirements</w:t>
            </w:r>
          </w:p>
          <w:p w14:paraId="5B2803E7" w14:textId="77777777" w:rsidR="00FF29CE" w:rsidRDefault="00FF29CE" w:rsidP="002B486F">
            <w:pPr>
              <w:pStyle w:val="SIBodybullet"/>
            </w:pPr>
            <w:r>
              <w:t>AHCWRK323 Operate in isolated and remote situations</w:t>
            </w:r>
          </w:p>
          <w:p w14:paraId="0BBD8A9F" w14:textId="01D81EF3" w:rsidR="00FF29CE" w:rsidRDefault="00FF29CE" w:rsidP="00656EAC">
            <w:pPr>
              <w:pStyle w:val="SITableBody"/>
            </w:pPr>
            <w:r>
              <w:t>Plus 4 units from the remaining units listed in groups A, B, C, or D</w:t>
            </w:r>
          </w:p>
          <w:p w14:paraId="6DF8A29E" w14:textId="017BB887" w:rsidR="00FF29CE" w:rsidRDefault="00FF29CE" w:rsidP="00656EAC">
            <w:pPr>
              <w:pStyle w:val="SITableBody"/>
            </w:pPr>
            <w:r>
              <w:t>Plus 3 units from the remaining units listed in groups A, B, C, D, or E, or any currently endorsed Training Package or accredited course.</w:t>
            </w:r>
          </w:p>
        </w:tc>
      </w:tr>
    </w:tbl>
    <w:p w14:paraId="606B7B7C" w14:textId="77777777" w:rsidR="00632F78" w:rsidRPr="00632F78" w:rsidRDefault="00632F78" w:rsidP="00380B28">
      <w:pPr>
        <w:pStyle w:val="BodyTextSI"/>
        <w:rPr>
          <w:rFonts w:ascii="Avenir Medium" w:eastAsiaTheme="majorEastAsia" w:hAnsi="Avenir Medium" w:cstheme="majorBidi"/>
          <w:b/>
          <w:bCs/>
          <w:sz w:val="48"/>
          <w:szCs w:val="48"/>
        </w:rPr>
      </w:pPr>
    </w:p>
    <w:p w14:paraId="787B73C2" w14:textId="27988FF7" w:rsidR="00CF3EBC" w:rsidRDefault="003F3B4E" w:rsidP="00F84D09">
      <w:pPr>
        <w:pStyle w:val="Heading2SI"/>
        <w:rPr>
          <w:rFonts w:cstheme="minorHAnsi"/>
          <w:iCs/>
          <w:highlight w:val="yellow"/>
        </w:rPr>
      </w:pPr>
      <w:r>
        <w:t>Training package delivery and assessment</w:t>
      </w:r>
    </w:p>
    <w:p w14:paraId="1317217E" w14:textId="22D7BBF7" w:rsidR="0056561A" w:rsidRPr="008E70F6" w:rsidRDefault="0056561A" w:rsidP="008E70F6">
      <w:pPr>
        <w:pStyle w:val="Heading3SI"/>
      </w:pPr>
      <w:bookmarkStart w:id="2" w:name="_Hlk180420698"/>
      <w:r w:rsidRPr="008E70F6">
        <w:t xml:space="preserve">Assessment Guidance for </w:t>
      </w:r>
      <w:r w:rsidR="00062416">
        <w:t>technology</w:t>
      </w:r>
      <w:r w:rsidRPr="008E70F6">
        <w:t xml:space="preserve"> units of competency</w:t>
      </w:r>
    </w:p>
    <w:p w14:paraId="6A448ADC" w14:textId="0D093057" w:rsidR="004C421D" w:rsidRPr="00701A4F" w:rsidRDefault="004C421D" w:rsidP="008E70F6">
      <w:pPr>
        <w:pStyle w:val="BodyTextSI"/>
        <w:rPr>
          <w:color w:val="ED7D31" w:themeColor="accent2"/>
        </w:rPr>
      </w:pPr>
      <w:r w:rsidRPr="004C421D">
        <w:t xml:space="preserve">RTOs can determine which assessment methods are used to assess the content of the unit. However, assessment of units must be robust and meet best practice standards for assessment, including meeting the Principles for Assessment and the Rules of Evidence, as outlined in the </w:t>
      </w:r>
      <w:hyperlink r:id="rId13" w:history="1">
        <w:r w:rsidRPr="00701A4F">
          <w:rPr>
            <w:rStyle w:val="Hyperlink"/>
            <w:i/>
            <w:iCs/>
            <w:color w:val="ED7D31" w:themeColor="accent2"/>
          </w:rPr>
          <w:t>Standards for RTOs 20</w:t>
        </w:r>
        <w:r w:rsidR="00701A4F" w:rsidRPr="00701A4F">
          <w:rPr>
            <w:rStyle w:val="Hyperlink"/>
            <w:i/>
            <w:iCs/>
            <w:color w:val="ED7D31" w:themeColor="accent2"/>
          </w:rPr>
          <w:t>2</w:t>
        </w:r>
        <w:r w:rsidRPr="00701A4F">
          <w:rPr>
            <w:rStyle w:val="Hyperlink"/>
            <w:i/>
            <w:iCs/>
            <w:color w:val="ED7D31" w:themeColor="accent2"/>
          </w:rPr>
          <w:t>5</w:t>
        </w:r>
      </w:hyperlink>
      <w:r w:rsidRPr="00701A4F">
        <w:rPr>
          <w:color w:val="ED7D31" w:themeColor="accent2"/>
        </w:rPr>
        <w:t>.</w:t>
      </w:r>
      <w:bookmarkStart w:id="3" w:name="_Toc113283907"/>
      <w:bookmarkStart w:id="4" w:name="_Toc166589035"/>
    </w:p>
    <w:p w14:paraId="62900657" w14:textId="77777777" w:rsidR="004C421D" w:rsidRPr="004C421D" w:rsidRDefault="004C421D" w:rsidP="008E70F6">
      <w:pPr>
        <w:pStyle w:val="Heading4SI"/>
      </w:pPr>
      <w:r w:rsidRPr="004C421D">
        <w:lastRenderedPageBreak/>
        <w:t>On-the-job demonstration</w:t>
      </w:r>
      <w:bookmarkEnd w:id="3"/>
      <w:bookmarkEnd w:id="4"/>
    </w:p>
    <w:p w14:paraId="4B125346" w14:textId="4952C646" w:rsidR="005D5A42" w:rsidRPr="005D5A42" w:rsidRDefault="005D5A42" w:rsidP="005D5A42">
      <w:pPr>
        <w:pStyle w:val="BodyTextSI"/>
      </w:pPr>
      <w:r w:rsidRPr="005D5A42">
        <w:t xml:space="preserve">On-the-job demonstration with assessor observation can be used to assess both </w:t>
      </w:r>
      <w:r w:rsidRPr="005D5A42">
        <w:rPr>
          <w:b/>
          <w:bCs/>
        </w:rPr>
        <w:t>performance evidence</w:t>
      </w:r>
      <w:r w:rsidRPr="005D5A42">
        <w:t xml:space="preserve"> and </w:t>
      </w:r>
      <w:r w:rsidRPr="005D5A42">
        <w:rPr>
          <w:b/>
          <w:bCs/>
        </w:rPr>
        <w:t>knowledge evidence</w:t>
      </w:r>
      <w:r w:rsidRPr="005D5A42">
        <w:t>. It enables assessment within the context of normal workplace operations and allows the learner to demonstrate the practical application of skills and knowledge using workplace equipment, technology, systems, software, procedures and information.</w:t>
      </w:r>
    </w:p>
    <w:p w14:paraId="191171D5" w14:textId="77777777" w:rsidR="005D5A42" w:rsidRPr="005D5A42" w:rsidRDefault="005D5A42" w:rsidP="005D5A42">
      <w:pPr>
        <w:pStyle w:val="BodyTextSI"/>
      </w:pPr>
      <w:r w:rsidRPr="005D5A42">
        <w:t>The assessor is expected to observe the learner undertaking workplace tasks and discuss performance with the learner to confirm understanding of actions taken, decisions made, information analysed and outcomes achieved. This may include questioning to confirm interpretation of data, troubleshooting processes, evaluation of technology options, application of workplace procedures and implementation of corrective actions.</w:t>
      </w:r>
    </w:p>
    <w:p w14:paraId="4D48C435" w14:textId="77777777" w:rsidR="005D5A42" w:rsidRPr="005D5A42" w:rsidRDefault="005D5A42" w:rsidP="005D5A42">
      <w:pPr>
        <w:pStyle w:val="BodyTextSI"/>
      </w:pPr>
      <w:r w:rsidRPr="005D5A42">
        <w:t>For technology-related units, on-the-job demonstration may include activities such as configuring and operating digital systems, monitoring and validating production data, analysing workplace information, troubleshooting faults, evaluating technology options, preparing recommendations and communicating findings to relevant personnel.</w:t>
      </w:r>
    </w:p>
    <w:p w14:paraId="7B9BF832" w14:textId="77777777" w:rsidR="005D5A42" w:rsidRPr="005D5A42" w:rsidRDefault="005D5A42" w:rsidP="005D5A42">
      <w:pPr>
        <w:pStyle w:val="BodyTextSI"/>
      </w:pPr>
      <w:r w:rsidRPr="005D5A42">
        <w:t>For learners undertaking workplace-based training, including apprenticeships, assessor observations may be supplemented by workplace evidence collected over time. This may include workplace records, reports, project work, workplace referee reports, completed tasks, technology outputs, workplace documentation and discussions with the learner and workplace personnel. Collectively, this evidence can assist assessors to make valid judgements regarding consistency of performance and application of skills and knowledge in the workplace.</w:t>
      </w:r>
    </w:p>
    <w:p w14:paraId="298D994A" w14:textId="77777777" w:rsidR="005D5A42" w:rsidRPr="005D5A42" w:rsidRDefault="005D5A42" w:rsidP="005D5A42">
      <w:pPr>
        <w:pStyle w:val="BodyTextSI"/>
      </w:pPr>
      <w:r w:rsidRPr="005D5A42">
        <w:t xml:space="preserve">For technology-related units, evidence may need to be gathered from a range of workplace activities undertaken over time. This recognises that some activities, such as technology evaluation, system configuration, implementation of operational improvements or troubleshooting of faults, may occur infrequently in the workplace. Assessors should consider a combination of direct observation, workplace documentation, workplace referee evidence, projects and questioning to ensure sufficient evidence is collected to satisfy the </w:t>
      </w:r>
      <w:r w:rsidRPr="005D5A42">
        <w:rPr>
          <w:b/>
          <w:bCs/>
        </w:rPr>
        <w:t>performance evidence</w:t>
      </w:r>
      <w:r w:rsidRPr="005D5A42">
        <w:t xml:space="preserve"> and </w:t>
      </w:r>
      <w:r w:rsidRPr="005D5A42">
        <w:rPr>
          <w:b/>
          <w:bCs/>
        </w:rPr>
        <w:t>knowledge evidence</w:t>
      </w:r>
      <w:r w:rsidRPr="005D5A42">
        <w:t xml:space="preserve"> requirements of the unit.</w:t>
      </w:r>
    </w:p>
    <w:p w14:paraId="01857CDE" w14:textId="54B236B1" w:rsidR="004C421D" w:rsidRPr="004C421D" w:rsidRDefault="005D5A42" w:rsidP="008E70F6">
      <w:pPr>
        <w:pStyle w:val="BodyTextSI"/>
      </w:pPr>
      <w:r w:rsidRPr="005D5A42">
        <w:t xml:space="preserve">Evidence collected through on-the-job demonstration may contribute towards both the </w:t>
      </w:r>
      <w:r w:rsidRPr="005D5A42">
        <w:rPr>
          <w:b/>
          <w:bCs/>
        </w:rPr>
        <w:t>performance evidence</w:t>
      </w:r>
      <w:r w:rsidRPr="005D5A42">
        <w:t xml:space="preserve"> and </w:t>
      </w:r>
      <w:r w:rsidRPr="005D5A42">
        <w:rPr>
          <w:b/>
          <w:bCs/>
        </w:rPr>
        <w:t>knowledge evidence</w:t>
      </w:r>
      <w:r w:rsidRPr="005D5A42">
        <w:t xml:space="preserve"> requirements of a unit.</w:t>
      </w:r>
    </w:p>
    <w:p w14:paraId="791408B1" w14:textId="77777777" w:rsidR="004C421D" w:rsidRPr="004C421D" w:rsidRDefault="004C421D" w:rsidP="008E70F6">
      <w:pPr>
        <w:pStyle w:val="Heading4SI"/>
      </w:pPr>
      <w:bookmarkStart w:id="5" w:name="_Toc113283908"/>
      <w:bookmarkStart w:id="6" w:name="_Toc166589036"/>
      <w:r w:rsidRPr="004C421D">
        <w:t>Workplace projects</w:t>
      </w:r>
      <w:bookmarkEnd w:id="5"/>
      <w:bookmarkEnd w:id="6"/>
    </w:p>
    <w:p w14:paraId="5C598E9A" w14:textId="77777777" w:rsidR="005D5A42" w:rsidRPr="005D5A42" w:rsidRDefault="005D5A42" w:rsidP="005D5A42">
      <w:pPr>
        <w:pStyle w:val="BodyTextSI"/>
      </w:pPr>
      <w:bookmarkStart w:id="7" w:name="_Toc113283906"/>
      <w:bookmarkStart w:id="8" w:name="_Toc166589034"/>
      <w:r w:rsidRPr="005D5A42">
        <w:t xml:space="preserve">Workplace projects can be used to assess the learner's ability to investigate, analyse, interpret and apply information to workplace situations over </w:t>
      </w:r>
      <w:proofErr w:type="gramStart"/>
      <w:r w:rsidRPr="005D5A42">
        <w:t>a period of time</w:t>
      </w:r>
      <w:proofErr w:type="gramEnd"/>
      <w:r w:rsidRPr="005D5A42">
        <w:t>. They are particularly useful where units require learners to collect and evaluate information, identify issues, analyse data, develop recommendations, prepare workplace documentation or support workplace decision making.</w:t>
      </w:r>
    </w:p>
    <w:p w14:paraId="72C08714" w14:textId="77777777" w:rsidR="005D5A42" w:rsidRPr="005D5A42" w:rsidRDefault="005D5A42" w:rsidP="005D5A42">
      <w:pPr>
        <w:pStyle w:val="BodyTextSI"/>
      </w:pPr>
      <w:r w:rsidRPr="005D5A42">
        <w:t xml:space="preserve">Projects should be based on real workplace activities wherever possible and require learners to apply the skills and knowledge described in the unit. Project tasks may include researching </w:t>
      </w:r>
      <w:r w:rsidRPr="005D5A42">
        <w:lastRenderedPageBreak/>
        <w:t>technology options, evaluating workplace requirements, analysing production data, preparing reports, documenting recommendations, developing proposals for workplace implementation, or investigating and responding to workplace technology issues.</w:t>
      </w:r>
    </w:p>
    <w:p w14:paraId="5F0B0200" w14:textId="77777777" w:rsidR="005D5A42" w:rsidRPr="005D5A42" w:rsidRDefault="005D5A42" w:rsidP="005D5A42">
      <w:pPr>
        <w:pStyle w:val="BodyTextSI"/>
      </w:pPr>
      <w:r w:rsidRPr="005D5A42">
        <w:t xml:space="preserve">For learners undertaking workplace-based training, including apprenticeships, workplace projects may be completed progressively as part of normal workplace activities. This can enable evidence to be collected across a range of workplace situations and support assessment of activities that occur over an extended </w:t>
      </w:r>
      <w:proofErr w:type="gramStart"/>
      <w:r w:rsidRPr="005D5A42">
        <w:t>period of time</w:t>
      </w:r>
      <w:proofErr w:type="gramEnd"/>
      <w:r w:rsidRPr="005D5A42">
        <w:t>.</w:t>
      </w:r>
    </w:p>
    <w:p w14:paraId="44589E08" w14:textId="77777777" w:rsidR="005D5A42" w:rsidRPr="005D5A42" w:rsidRDefault="005D5A42" w:rsidP="005D5A42">
      <w:pPr>
        <w:pStyle w:val="BodyTextSI"/>
      </w:pPr>
      <w:r w:rsidRPr="005D5A42">
        <w:t xml:space="preserve">Workplace projects may contribute evidence towards both the </w:t>
      </w:r>
      <w:r w:rsidRPr="005D5A42">
        <w:rPr>
          <w:b/>
          <w:bCs/>
        </w:rPr>
        <w:t>performance evidence</w:t>
      </w:r>
      <w:r w:rsidRPr="005D5A42">
        <w:t xml:space="preserve"> and </w:t>
      </w:r>
      <w:r w:rsidRPr="005D5A42">
        <w:rPr>
          <w:b/>
          <w:bCs/>
        </w:rPr>
        <w:t>knowledge evidence</w:t>
      </w:r>
      <w:r w:rsidRPr="005D5A42">
        <w:t xml:space="preserve"> requirements of a unit. Assessors should ensure project requirements are clearly defined and that sufficient evidence is collected to demonstrate the learner's ability to consistently perform workplace tasks and apply the required knowledge.</w:t>
      </w:r>
    </w:p>
    <w:p w14:paraId="16B35F31" w14:textId="77777777" w:rsidR="005D5A42" w:rsidRPr="005D5A42" w:rsidRDefault="005D5A42" w:rsidP="005D5A42">
      <w:pPr>
        <w:pStyle w:val="BodyTextSI"/>
      </w:pPr>
      <w:r w:rsidRPr="005D5A42">
        <w:t>Evidence generated through workplace projects may be supplemented by questioning, observation, workplace documentation, workplace referee reports or other assessment methods to ensure sufficient, authentic, current and valid evidence is obtained.</w:t>
      </w:r>
    </w:p>
    <w:p w14:paraId="7449FB62" w14:textId="0C4BA1C7" w:rsidR="004C421D" w:rsidRPr="004C421D" w:rsidRDefault="004C421D" w:rsidP="008E70F6">
      <w:pPr>
        <w:pStyle w:val="Heading4SI"/>
      </w:pPr>
      <w:r w:rsidRPr="004C421D">
        <w:t>Knowledge tests</w:t>
      </w:r>
      <w:bookmarkEnd w:id="7"/>
      <w:bookmarkEnd w:id="8"/>
    </w:p>
    <w:p w14:paraId="3F042C23" w14:textId="77777777" w:rsidR="005D5A42" w:rsidRPr="005D5A42" w:rsidRDefault="005D5A42" w:rsidP="005D5A42">
      <w:pPr>
        <w:pStyle w:val="BodyTextSI"/>
      </w:pPr>
      <w:r w:rsidRPr="005D5A42">
        <w:t xml:space="preserve">Knowledge tests may be used to assess the learner's ability to demonstrate the </w:t>
      </w:r>
      <w:r w:rsidRPr="005D5A42">
        <w:rPr>
          <w:b/>
          <w:bCs/>
        </w:rPr>
        <w:t>knowledge evidence</w:t>
      </w:r>
      <w:r w:rsidRPr="005D5A42">
        <w:t xml:space="preserve"> requirements of a unit.</w:t>
      </w:r>
    </w:p>
    <w:p w14:paraId="1E1E16BB" w14:textId="77777777" w:rsidR="005D5A42" w:rsidRPr="005D5A42" w:rsidRDefault="005D5A42" w:rsidP="005D5A42">
      <w:pPr>
        <w:pStyle w:val="BodyTextSI"/>
      </w:pPr>
      <w:r w:rsidRPr="005D5A42">
        <w:t>Knowledge tests should be designed to assess the application of knowledge rather than the recall of isolated facts. Questions should require learners to interpret information, explain concepts, solve problems, evaluate options and apply knowledge to workplace situations relevant to the unit.</w:t>
      </w:r>
    </w:p>
    <w:p w14:paraId="035AB983" w14:textId="77777777" w:rsidR="005D5A42" w:rsidRPr="005D5A42" w:rsidRDefault="005D5A42" w:rsidP="005D5A42">
      <w:pPr>
        <w:pStyle w:val="BodyTextSI"/>
      </w:pPr>
      <w:r w:rsidRPr="005D5A42">
        <w:t xml:space="preserve">For technology-related units, knowledge tests may be used to assess understanding of digital technologies, data collection and analysis processes, technology selection criteria, troubleshooting processes, operational requirements, workplace procedures, interoperability, diagnostic capability, repairability, return on investment, and </w:t>
      </w:r>
      <w:proofErr w:type="gramStart"/>
      <w:r w:rsidRPr="005D5A42">
        <w:t>other</w:t>
      </w:r>
      <w:proofErr w:type="gramEnd"/>
      <w:r w:rsidRPr="005D5A42">
        <w:t xml:space="preserve"> knowledge specified within the unit.</w:t>
      </w:r>
    </w:p>
    <w:p w14:paraId="4A8B8532" w14:textId="77777777" w:rsidR="005D5A42" w:rsidRPr="005D5A42" w:rsidRDefault="005D5A42" w:rsidP="005D5A42">
      <w:pPr>
        <w:pStyle w:val="BodyTextSI"/>
      </w:pPr>
      <w:r w:rsidRPr="005D5A42">
        <w:t>Depending on the context, knowledge tests may be written, oral, electronic or integrated into other assessment activities. Assessors may use questioning to further explore responses and confirm understanding where required.</w:t>
      </w:r>
    </w:p>
    <w:p w14:paraId="6581A840" w14:textId="77777777" w:rsidR="005D5A42" w:rsidRPr="005D5A42" w:rsidRDefault="005D5A42" w:rsidP="005D5A42">
      <w:pPr>
        <w:pStyle w:val="BodyTextSI"/>
      </w:pPr>
      <w:r w:rsidRPr="005D5A42">
        <w:t xml:space="preserve">Knowledge tests are generally most effective when used in conjunction with assessment methods that provide evidence of workplace performance. Knowledge tests alone are unlikely to provide sufficient evidence to satisfy </w:t>
      </w:r>
      <w:r w:rsidRPr="005D5A42">
        <w:rPr>
          <w:b/>
          <w:bCs/>
        </w:rPr>
        <w:t>performance evidence</w:t>
      </w:r>
      <w:r w:rsidRPr="005D5A42">
        <w:t xml:space="preserve"> requirements where learners must demonstrate practical workplace skills.</w:t>
      </w:r>
    </w:p>
    <w:p w14:paraId="767C49F0" w14:textId="56AAEDF5" w:rsidR="004C421D" w:rsidRPr="004C421D" w:rsidRDefault="004C421D" w:rsidP="008E70F6">
      <w:pPr>
        <w:pStyle w:val="Heading4SI"/>
      </w:pPr>
      <w:r w:rsidRPr="004C421D">
        <w:t>Workplace referees</w:t>
      </w:r>
    </w:p>
    <w:p w14:paraId="29CDFC92" w14:textId="53E8F96B" w:rsidR="00826E12" w:rsidRPr="00826E12" w:rsidRDefault="00826E12" w:rsidP="00826E12">
      <w:pPr>
        <w:pStyle w:val="BodyTextSI"/>
      </w:pPr>
      <w:r w:rsidRPr="00826E12">
        <w:t xml:space="preserve">Workplace referees can provide valuable supporting evidence regarding the learner's ability to consistently apply workplace skills and knowledge over </w:t>
      </w:r>
      <w:proofErr w:type="gramStart"/>
      <w:r w:rsidRPr="00826E12">
        <w:t>a period of time</w:t>
      </w:r>
      <w:proofErr w:type="gramEnd"/>
      <w:r w:rsidRPr="00826E12">
        <w:t>.</w:t>
      </w:r>
    </w:p>
    <w:p w14:paraId="5E5F387E" w14:textId="77777777" w:rsidR="00826E12" w:rsidRPr="00826E12" w:rsidRDefault="00826E12" w:rsidP="00826E12">
      <w:pPr>
        <w:pStyle w:val="BodyTextSI"/>
      </w:pPr>
      <w:r w:rsidRPr="00826E12">
        <w:t xml:space="preserve">Workplace referees are expected to be well briefed by the assessor, including the purpose of the assessment and the legal implications of any statements they are signing. Suitable referees are </w:t>
      </w:r>
      <w:r w:rsidRPr="00826E12">
        <w:lastRenderedPageBreak/>
        <w:t>usually an immediate supervisor, manager or experienced work colleague who has had sufficient opportunity to observe the learner performing relevant workplace activities.</w:t>
      </w:r>
    </w:p>
    <w:p w14:paraId="0607103F" w14:textId="77777777" w:rsidR="00826E12" w:rsidRPr="00826E12" w:rsidRDefault="00826E12" w:rsidP="00826E12">
      <w:pPr>
        <w:pStyle w:val="BodyTextSI"/>
      </w:pPr>
      <w:r w:rsidRPr="00826E12">
        <w:t xml:space="preserve">Workplace referees can be particularly valuable where learners are undertaking training as part of an apprenticeship or other workplace-based training arrangement. In these circumstances, workplace supervisors and experienced workers often have opportunities to observe the learner's performance over an extended </w:t>
      </w:r>
      <w:proofErr w:type="gramStart"/>
      <w:r w:rsidRPr="00826E12">
        <w:t>period of time</w:t>
      </w:r>
      <w:proofErr w:type="gramEnd"/>
      <w:r w:rsidRPr="00826E12">
        <w:t xml:space="preserve"> and across a range of workplace situations that may not be available during a single assessor visit.</w:t>
      </w:r>
    </w:p>
    <w:p w14:paraId="5806E587" w14:textId="77777777" w:rsidR="00826E12" w:rsidRPr="00826E12" w:rsidRDefault="00826E12" w:rsidP="00826E12">
      <w:pPr>
        <w:pStyle w:val="BodyTextSI"/>
      </w:pPr>
      <w:r w:rsidRPr="00826E12">
        <w:t>For technology-related units, workplace referees may provide evidence regarding the learner's ability to operate workplace technologies, collect and interpret information, troubleshoot issues, apply workplace procedures, communicate recommendations, support workplace decision making and work effectively with others.</w:t>
      </w:r>
    </w:p>
    <w:p w14:paraId="1BA03F11" w14:textId="77777777" w:rsidR="00826E12" w:rsidRPr="00826E12" w:rsidRDefault="00826E12" w:rsidP="00826E12">
      <w:pPr>
        <w:pStyle w:val="BodyTextSI"/>
      </w:pPr>
      <w:r w:rsidRPr="00826E12">
        <w:t>Workplace referee evidence may provide valuable supporting information regarding the learner's ability to consistently apply workplace skills and knowledge, respond to workplace issues, use workplace technologies, analyse information and perform workplace tasks in accordance with workplace procedures and expectations.</w:t>
      </w:r>
    </w:p>
    <w:p w14:paraId="6DA02C8A" w14:textId="77777777" w:rsidR="00826E12" w:rsidRPr="00826E12" w:rsidRDefault="00826E12" w:rsidP="00826E12">
      <w:pPr>
        <w:pStyle w:val="BodyTextSI"/>
      </w:pPr>
      <w:r w:rsidRPr="00826E12">
        <w:t>Workplace referees are expected to provide evidence of the learner's consistency of performance over time rather than assessing competency. They should make notes and comments to support their observations and provide examples of workplace activities undertaken by the learner where appropriate.</w:t>
      </w:r>
    </w:p>
    <w:p w14:paraId="04C419D6" w14:textId="35FF353A" w:rsidR="004C421D" w:rsidRPr="008E70F6" w:rsidRDefault="00826E12" w:rsidP="00826E12">
      <w:pPr>
        <w:pStyle w:val="BodyTextSI"/>
      </w:pPr>
      <w:r w:rsidRPr="00826E12">
        <w:t xml:space="preserve">Workplace referee evidence should be used in conjunction with other assessment methods and may contribute supporting evidence towards the </w:t>
      </w:r>
      <w:r w:rsidRPr="00826E12">
        <w:rPr>
          <w:b/>
          <w:bCs/>
        </w:rPr>
        <w:t>performance evidence</w:t>
      </w:r>
      <w:r w:rsidRPr="00826E12">
        <w:t xml:space="preserve"> and </w:t>
      </w:r>
      <w:r w:rsidRPr="00826E12">
        <w:rPr>
          <w:b/>
          <w:bCs/>
        </w:rPr>
        <w:t>knowledge evidence</w:t>
      </w:r>
      <w:r w:rsidRPr="00826E12">
        <w:t xml:space="preserve"> requirements of a unit. A workplace referee may be more than one person where different aspects of workplace performance are observed by different individuals.</w:t>
      </w:r>
    </w:p>
    <w:p w14:paraId="19B31F4A" w14:textId="7490E64D" w:rsidR="0088563E" w:rsidRPr="00A03A37" w:rsidRDefault="0088563E" w:rsidP="008E70F6">
      <w:pPr>
        <w:pStyle w:val="BodyTextSI"/>
        <w:rPr>
          <w:b/>
          <w:bCs/>
          <w:sz w:val="28"/>
          <w:szCs w:val="28"/>
        </w:rPr>
      </w:pPr>
      <w:r w:rsidRPr="00A03A37">
        <w:rPr>
          <w:b/>
          <w:bCs/>
          <w:sz w:val="28"/>
          <w:szCs w:val="28"/>
        </w:rPr>
        <w:t>Simulated assessment methods</w:t>
      </w:r>
    </w:p>
    <w:p w14:paraId="243FEFD7" w14:textId="77777777" w:rsidR="00826E12" w:rsidRPr="00826E12" w:rsidRDefault="00826E12" w:rsidP="00826E12">
      <w:pPr>
        <w:pStyle w:val="BodyTextSI"/>
        <w:rPr>
          <w:shd w:val="clear" w:color="auto" w:fill="FFFFFF"/>
        </w:rPr>
      </w:pPr>
      <w:r w:rsidRPr="00826E12">
        <w:rPr>
          <w:shd w:val="clear" w:color="auto" w:fill="FFFFFF"/>
        </w:rPr>
        <w:t>Simulation may be used where access to a workplace is not reasonably available, where workplace assessment would create unacceptable operational, safety or biosecurity risks, or where the unit assessment conditions permit assessment in an environment that accurately represents workplace conditions.</w:t>
      </w:r>
    </w:p>
    <w:p w14:paraId="43E0DDD4" w14:textId="77777777" w:rsidR="00826E12" w:rsidRPr="00826E12" w:rsidRDefault="00826E12" w:rsidP="00826E12">
      <w:pPr>
        <w:pStyle w:val="BodyTextSI"/>
        <w:rPr>
          <w:shd w:val="clear" w:color="auto" w:fill="FFFFFF"/>
        </w:rPr>
      </w:pPr>
      <w:r w:rsidRPr="00826E12">
        <w:rPr>
          <w:shd w:val="clear" w:color="auto" w:fill="FFFFFF"/>
        </w:rPr>
        <w:t>Simulated environments should replicate workplace conditions as closely as possible, including workplace procedures, documentation, equipment, technology, resources, production information, operational constraints and interactions with relevant personnel. Simulations should provide learners with opportunities to demonstrate both routine activities and responses to workplace issues, faults or unexpected situations where required by the unit.</w:t>
      </w:r>
    </w:p>
    <w:p w14:paraId="24AAD5E0" w14:textId="77777777" w:rsidR="00826E12" w:rsidRPr="00826E12" w:rsidRDefault="00826E12" w:rsidP="00826E12">
      <w:pPr>
        <w:pStyle w:val="BodyTextSI"/>
        <w:rPr>
          <w:shd w:val="clear" w:color="auto" w:fill="FFFFFF"/>
        </w:rPr>
      </w:pPr>
      <w:r w:rsidRPr="00826E12">
        <w:rPr>
          <w:shd w:val="clear" w:color="auto" w:fill="FFFFFF"/>
        </w:rPr>
        <w:t>For technology-related units, simulations may include the use of agricultural software, digital technologies, production data sets, technical specifications, manufacturer information, workplace scenarios, supplier information and simulated workplace records. Learners may be required to analyse information, investigate technology options, troubleshoot faults, evaluate alternatives, prepare recommendations or respond to workplace scenarios that reflect industry practice.</w:t>
      </w:r>
    </w:p>
    <w:p w14:paraId="48DBAD45" w14:textId="77777777" w:rsidR="00826E12" w:rsidRPr="00826E12" w:rsidRDefault="00826E12" w:rsidP="00826E12">
      <w:pPr>
        <w:pStyle w:val="BodyTextSI"/>
        <w:rPr>
          <w:shd w:val="clear" w:color="auto" w:fill="FFFFFF"/>
        </w:rPr>
      </w:pPr>
      <w:r w:rsidRPr="00826E12">
        <w:rPr>
          <w:shd w:val="clear" w:color="auto" w:fill="FFFFFF"/>
        </w:rPr>
        <w:lastRenderedPageBreak/>
        <w:t xml:space="preserve">Simulated assessment methods may contribute evidence towards both the </w:t>
      </w:r>
      <w:r w:rsidRPr="00826E12">
        <w:rPr>
          <w:b/>
          <w:bCs/>
          <w:shd w:val="clear" w:color="auto" w:fill="FFFFFF"/>
        </w:rPr>
        <w:t>performance evidence</w:t>
      </w:r>
      <w:r w:rsidRPr="00826E12">
        <w:rPr>
          <w:shd w:val="clear" w:color="auto" w:fill="FFFFFF"/>
        </w:rPr>
        <w:t xml:space="preserve"> and </w:t>
      </w:r>
      <w:r w:rsidRPr="00826E12">
        <w:rPr>
          <w:b/>
          <w:bCs/>
          <w:shd w:val="clear" w:color="auto" w:fill="FFFFFF"/>
        </w:rPr>
        <w:t>knowledge evidence</w:t>
      </w:r>
      <w:r w:rsidRPr="00826E12">
        <w:rPr>
          <w:shd w:val="clear" w:color="auto" w:fill="FFFFFF"/>
        </w:rPr>
        <w:t xml:space="preserve"> requirements of a unit. RTOs should ensure the simulation environment is consistent with the assessment conditions specified within the unit and provides sufficient opportunities for learners to demonstrate the required workplace skills, application of knowledge and performance outcomes.</w:t>
      </w:r>
    </w:p>
    <w:p w14:paraId="2DB36D84" w14:textId="3AC599D3" w:rsidR="00656EAC" w:rsidRDefault="00826E12" w:rsidP="00F84D09">
      <w:pPr>
        <w:pStyle w:val="BodyTextSI"/>
        <w:rPr>
          <w:rFonts w:ascii="Avenir Medium" w:eastAsiaTheme="majorEastAsia" w:hAnsi="Avenir Medium" w:cstheme="majorBidi"/>
          <w:b/>
          <w:bCs/>
          <w:sz w:val="36"/>
          <w:szCs w:val="36"/>
        </w:rPr>
      </w:pPr>
      <w:r w:rsidRPr="00826E12">
        <w:rPr>
          <w:shd w:val="clear" w:color="auto" w:fill="FFFFFF"/>
        </w:rPr>
        <w:t>Evidence collected through simulation should enable the assessor to make a valid judgement about the learner's ability to perform to the standard expected in the workplace and satisfy the requirements of the Principles of Assessment and Rules of Evidence.</w:t>
      </w:r>
      <w:bookmarkEnd w:id="2"/>
    </w:p>
    <w:p w14:paraId="3A67DF1D" w14:textId="64A35F0A" w:rsidR="00D56593" w:rsidRDefault="00D56593" w:rsidP="00D56593">
      <w:pPr>
        <w:pStyle w:val="Heading3SI"/>
      </w:pPr>
      <w:bookmarkStart w:id="9" w:name="_Toc144972646"/>
      <w:r w:rsidRPr="00442F18">
        <w:t>Industry regulations and standards</w:t>
      </w:r>
      <w:bookmarkEnd w:id="9"/>
    </w:p>
    <w:p w14:paraId="170AF395" w14:textId="426BC9DA" w:rsidR="00354DB4" w:rsidRPr="004C421D" w:rsidRDefault="00354DB4" w:rsidP="00354DB4">
      <w:pPr>
        <w:pStyle w:val="Heading4SI"/>
      </w:pPr>
      <w:bookmarkStart w:id="10" w:name="_Toc144980742"/>
      <w:r>
        <w:t>Environmental regulations</w:t>
      </w:r>
    </w:p>
    <w:p w14:paraId="03DCD220" w14:textId="77777777" w:rsidR="00354DB4" w:rsidRPr="00354DB4" w:rsidRDefault="00354DB4" w:rsidP="00354DB4">
      <w:pPr>
        <w:pStyle w:val="NormalWeb"/>
        <w:shd w:val="clear" w:color="auto" w:fill="FFFFFF"/>
        <w:rPr>
          <w:rFonts w:ascii="Avenir Book" w:hAnsi="Avenir Book" w:cstheme="minorHAnsi"/>
          <w:color w:val="000000"/>
        </w:rPr>
      </w:pPr>
      <w:r w:rsidRPr="00354DB4">
        <w:rPr>
          <w:rFonts w:ascii="Avenir Book" w:hAnsi="Avenir Book" w:cstheme="minorHAnsi"/>
          <w:color w:val="000000"/>
        </w:rPr>
        <w:t>Most horticultural production systems are highly reliant on irrigation, fertilisers and pesticides. Laws governing environmental protection and management by horticultural producers include numerous federal, state and local Acts and Regulations. Generally, these Regulations relate to fertiliser and pesticide supply, handling, usage and storage; disposal of empty chemical containers and contaminated wastes; water usage; wastewater generation and the treatment of waste arising from production; biodiversity; and land and soil management.</w:t>
      </w:r>
    </w:p>
    <w:p w14:paraId="32A274EE" w14:textId="77777777" w:rsidR="00354DB4" w:rsidRDefault="00354DB4" w:rsidP="00354DB4">
      <w:pPr>
        <w:pStyle w:val="NormalWeb"/>
        <w:shd w:val="clear" w:color="auto" w:fill="FFFFFF"/>
        <w:rPr>
          <w:rFonts w:ascii="Avenir Book" w:hAnsi="Avenir Book" w:cstheme="minorHAnsi"/>
          <w:color w:val="000000"/>
        </w:rPr>
      </w:pPr>
    </w:p>
    <w:p w14:paraId="55F6F1E4" w14:textId="77777777" w:rsidR="00354DB4" w:rsidRDefault="00354DB4" w:rsidP="00354DB4">
      <w:pPr>
        <w:pStyle w:val="NormalWeb"/>
        <w:shd w:val="clear" w:color="auto" w:fill="FFFFFF"/>
        <w:rPr>
          <w:rFonts w:ascii="Avenir Book" w:hAnsi="Avenir Book" w:cstheme="minorHAnsi"/>
          <w:color w:val="000000"/>
        </w:rPr>
        <w:sectPr w:rsidR="00354DB4" w:rsidSect="00AE2A1C">
          <w:headerReference w:type="even" r:id="rId14"/>
          <w:headerReference w:type="default" r:id="rId15"/>
          <w:footerReference w:type="even" r:id="rId16"/>
          <w:footerReference w:type="default" r:id="rId17"/>
          <w:headerReference w:type="first" r:id="rId18"/>
          <w:footerReference w:type="first" r:id="rId19"/>
          <w:pgSz w:w="11906" w:h="16838"/>
          <w:pgMar w:top="2694" w:right="1247" w:bottom="1361" w:left="1247" w:header="709" w:footer="709" w:gutter="0"/>
          <w:cols w:space="708"/>
          <w:docGrid w:linePitch="360"/>
        </w:sectPr>
      </w:pPr>
      <w:r w:rsidRPr="00354DB4">
        <w:rPr>
          <w:rFonts w:ascii="Avenir Book" w:hAnsi="Avenir Book" w:cstheme="minorHAnsi"/>
          <w:color w:val="000000"/>
        </w:rPr>
        <w:t>National environmental legislation and regulations relevant to the industry include:</w:t>
      </w:r>
    </w:p>
    <w:p w14:paraId="4975D098" w14:textId="006D1D2A" w:rsidR="00354DB4" w:rsidRPr="00354DB4" w:rsidRDefault="00354DB4" w:rsidP="00354DB4">
      <w:pPr>
        <w:pStyle w:val="NormalWeb"/>
        <w:shd w:val="clear" w:color="auto" w:fill="FFFFFF"/>
        <w:rPr>
          <w:rFonts w:ascii="Avenir Book" w:hAnsi="Avenir Book" w:cstheme="minorHAnsi"/>
          <w:color w:val="000000"/>
        </w:rPr>
      </w:pPr>
      <w:r>
        <w:rPr>
          <w:rStyle w:val="FootnoteReference"/>
          <w:rFonts w:ascii="Avenir Book" w:hAnsi="Avenir Book" w:cstheme="minorHAnsi"/>
          <w:color w:val="000000"/>
        </w:rPr>
        <w:footnoteReference w:id="2"/>
      </w:r>
    </w:p>
    <w:p w14:paraId="47D02F2F" w14:textId="750485B5" w:rsidR="00354DB4" w:rsidRPr="00354DB4" w:rsidRDefault="00354DB4" w:rsidP="00895E6F">
      <w:pPr>
        <w:pStyle w:val="NormalWeb"/>
        <w:numPr>
          <w:ilvl w:val="0"/>
          <w:numId w:val="17"/>
        </w:numPr>
        <w:shd w:val="clear" w:color="auto" w:fill="FFFFFF"/>
        <w:rPr>
          <w:rFonts w:ascii="Avenir Book" w:hAnsi="Avenir Book" w:cstheme="minorHAnsi"/>
          <w:color w:val="000000"/>
        </w:rPr>
      </w:pPr>
      <w:r w:rsidRPr="00354DB4">
        <w:rPr>
          <w:rFonts w:ascii="Avenir Book" w:hAnsi="Avenir Book" w:cstheme="minorHAnsi"/>
          <w:color w:val="000000"/>
        </w:rPr>
        <w:t>Environment Protection and Biodiversity Conservation Act 1999 (</w:t>
      </w:r>
      <w:proofErr w:type="spellStart"/>
      <w:r w:rsidRPr="00354DB4">
        <w:rPr>
          <w:rFonts w:ascii="Avenir Book" w:hAnsi="Avenir Book" w:cstheme="minorHAnsi"/>
          <w:color w:val="000000"/>
        </w:rPr>
        <w:t>Cth</w:t>
      </w:r>
      <w:proofErr w:type="spellEnd"/>
      <w:r w:rsidRPr="00354DB4">
        <w:rPr>
          <w:rFonts w:ascii="Avenir Book" w:hAnsi="Avenir Book" w:cstheme="minorHAnsi"/>
          <w:color w:val="000000"/>
        </w:rPr>
        <w:t>.)</w:t>
      </w:r>
    </w:p>
    <w:p w14:paraId="18AF015B" w14:textId="01F3D8C2" w:rsidR="00354DB4" w:rsidRPr="00354DB4" w:rsidRDefault="00354DB4" w:rsidP="00895E6F">
      <w:pPr>
        <w:pStyle w:val="NormalWeb"/>
        <w:numPr>
          <w:ilvl w:val="0"/>
          <w:numId w:val="17"/>
        </w:numPr>
        <w:shd w:val="clear" w:color="auto" w:fill="FFFFFF"/>
        <w:rPr>
          <w:rFonts w:ascii="Avenir Book" w:hAnsi="Avenir Book" w:cstheme="minorHAnsi"/>
          <w:color w:val="000000"/>
        </w:rPr>
      </w:pPr>
      <w:r w:rsidRPr="00354DB4">
        <w:rPr>
          <w:rFonts w:ascii="Avenir Book" w:hAnsi="Avenir Book" w:cstheme="minorHAnsi"/>
          <w:color w:val="000000"/>
        </w:rPr>
        <w:t>Hazardous Waste (Regulation of Exports and Imports) Act 1989 (</w:t>
      </w:r>
      <w:proofErr w:type="spellStart"/>
      <w:r w:rsidRPr="00354DB4">
        <w:rPr>
          <w:rFonts w:ascii="Avenir Book" w:hAnsi="Avenir Book" w:cstheme="minorHAnsi"/>
          <w:color w:val="000000"/>
        </w:rPr>
        <w:t>Cth</w:t>
      </w:r>
      <w:proofErr w:type="spellEnd"/>
      <w:r w:rsidRPr="00354DB4">
        <w:rPr>
          <w:rFonts w:ascii="Avenir Book" w:hAnsi="Avenir Book" w:cstheme="minorHAnsi"/>
          <w:color w:val="000000"/>
        </w:rPr>
        <w:t>.)</w:t>
      </w:r>
    </w:p>
    <w:p w14:paraId="0CD3CD63" w14:textId="02CF2947" w:rsidR="00354DB4" w:rsidRPr="00354DB4" w:rsidRDefault="00354DB4" w:rsidP="00895E6F">
      <w:pPr>
        <w:pStyle w:val="NormalWeb"/>
        <w:numPr>
          <w:ilvl w:val="0"/>
          <w:numId w:val="17"/>
        </w:numPr>
        <w:shd w:val="clear" w:color="auto" w:fill="FFFFFF"/>
        <w:rPr>
          <w:rFonts w:ascii="Avenir Book" w:hAnsi="Avenir Book" w:cstheme="minorHAnsi"/>
          <w:color w:val="000000"/>
        </w:rPr>
      </w:pPr>
      <w:r w:rsidRPr="00354DB4">
        <w:rPr>
          <w:rFonts w:ascii="Avenir Book" w:hAnsi="Avenir Book" w:cstheme="minorHAnsi"/>
          <w:color w:val="000000"/>
        </w:rPr>
        <w:t>Ozone Protection and Synthetic Greenhouse Gas Management Act 1989 (</w:t>
      </w:r>
      <w:proofErr w:type="spellStart"/>
      <w:r w:rsidRPr="00354DB4">
        <w:rPr>
          <w:rFonts w:ascii="Avenir Book" w:hAnsi="Avenir Book" w:cstheme="minorHAnsi"/>
          <w:color w:val="000000"/>
        </w:rPr>
        <w:t>Cth</w:t>
      </w:r>
      <w:proofErr w:type="spellEnd"/>
      <w:r w:rsidRPr="00354DB4">
        <w:rPr>
          <w:rFonts w:ascii="Avenir Book" w:hAnsi="Avenir Book" w:cstheme="minorHAnsi"/>
          <w:color w:val="000000"/>
        </w:rPr>
        <w:t>.)</w:t>
      </w:r>
    </w:p>
    <w:p w14:paraId="347B13D3" w14:textId="606F2F02" w:rsidR="00354DB4" w:rsidRPr="00354DB4" w:rsidRDefault="00354DB4" w:rsidP="00895E6F">
      <w:pPr>
        <w:pStyle w:val="NormalWeb"/>
        <w:numPr>
          <w:ilvl w:val="0"/>
          <w:numId w:val="17"/>
        </w:numPr>
        <w:shd w:val="clear" w:color="auto" w:fill="FFFFFF"/>
        <w:rPr>
          <w:rFonts w:ascii="Avenir Book" w:hAnsi="Avenir Book" w:cstheme="minorHAnsi"/>
          <w:color w:val="000000"/>
        </w:rPr>
      </w:pPr>
      <w:r w:rsidRPr="00354DB4">
        <w:rPr>
          <w:rFonts w:ascii="Avenir Book" w:hAnsi="Avenir Book" w:cstheme="minorHAnsi"/>
          <w:color w:val="000000"/>
        </w:rPr>
        <w:t>Water Act 2007, Water Amendment Act 2008 (</w:t>
      </w:r>
      <w:proofErr w:type="spellStart"/>
      <w:r w:rsidRPr="00354DB4">
        <w:rPr>
          <w:rFonts w:ascii="Avenir Book" w:hAnsi="Avenir Book" w:cstheme="minorHAnsi"/>
          <w:color w:val="000000"/>
        </w:rPr>
        <w:t>Cth</w:t>
      </w:r>
      <w:proofErr w:type="spellEnd"/>
      <w:r w:rsidRPr="00354DB4">
        <w:rPr>
          <w:rFonts w:ascii="Avenir Book" w:hAnsi="Avenir Book" w:cstheme="minorHAnsi"/>
          <w:color w:val="000000"/>
        </w:rPr>
        <w:t>.) and associated water regulations</w:t>
      </w:r>
    </w:p>
    <w:p w14:paraId="70B45CB7" w14:textId="246B42A1" w:rsidR="00354DB4" w:rsidRPr="00354DB4" w:rsidRDefault="00354DB4" w:rsidP="00895E6F">
      <w:pPr>
        <w:pStyle w:val="NormalWeb"/>
        <w:numPr>
          <w:ilvl w:val="0"/>
          <w:numId w:val="17"/>
        </w:numPr>
        <w:shd w:val="clear" w:color="auto" w:fill="FFFFFF"/>
        <w:rPr>
          <w:rFonts w:ascii="Avenir Book" w:hAnsi="Avenir Book" w:cstheme="minorHAnsi"/>
          <w:color w:val="000000"/>
        </w:rPr>
      </w:pPr>
      <w:r w:rsidRPr="00354DB4">
        <w:rPr>
          <w:rFonts w:ascii="Avenir Book" w:hAnsi="Avenir Book" w:cstheme="minorHAnsi"/>
          <w:color w:val="000000"/>
        </w:rPr>
        <w:t>National Water Quality Management Strategy</w:t>
      </w:r>
    </w:p>
    <w:p w14:paraId="5255DB3B" w14:textId="41E7E3B2" w:rsidR="00354DB4" w:rsidRPr="00354DB4" w:rsidRDefault="00354DB4" w:rsidP="00895E6F">
      <w:pPr>
        <w:pStyle w:val="NormalWeb"/>
        <w:numPr>
          <w:ilvl w:val="0"/>
          <w:numId w:val="17"/>
        </w:numPr>
        <w:shd w:val="clear" w:color="auto" w:fill="FFFFFF"/>
        <w:rPr>
          <w:rFonts w:ascii="Avenir Book" w:hAnsi="Avenir Book" w:cstheme="minorHAnsi"/>
          <w:color w:val="000000"/>
        </w:rPr>
      </w:pPr>
      <w:r w:rsidRPr="00354DB4">
        <w:rPr>
          <w:rFonts w:ascii="Avenir Book" w:hAnsi="Avenir Book" w:cstheme="minorHAnsi"/>
          <w:color w:val="000000"/>
        </w:rPr>
        <w:t>National Environment Protection (Assessment of Site Contamination) Measure</w:t>
      </w:r>
    </w:p>
    <w:p w14:paraId="42C83EED" w14:textId="7816E8E5" w:rsidR="00354DB4" w:rsidRPr="00354DB4" w:rsidRDefault="00354DB4" w:rsidP="00895E6F">
      <w:pPr>
        <w:pStyle w:val="NormalWeb"/>
        <w:numPr>
          <w:ilvl w:val="0"/>
          <w:numId w:val="17"/>
        </w:numPr>
        <w:shd w:val="clear" w:color="auto" w:fill="FFFFFF"/>
        <w:rPr>
          <w:rFonts w:ascii="Avenir Book" w:hAnsi="Avenir Book" w:cstheme="minorHAnsi"/>
          <w:color w:val="000000"/>
        </w:rPr>
      </w:pPr>
      <w:r w:rsidRPr="00354DB4">
        <w:rPr>
          <w:rFonts w:ascii="Avenir Book" w:hAnsi="Avenir Book" w:cstheme="minorHAnsi"/>
          <w:color w:val="000000"/>
        </w:rPr>
        <w:t>Australian and New Zealand Guidelines for Fresh and Marine Water Quality (2000)</w:t>
      </w:r>
    </w:p>
    <w:p w14:paraId="1722D16F" w14:textId="21F1931A" w:rsidR="00354DB4" w:rsidRPr="00354DB4" w:rsidRDefault="00354DB4" w:rsidP="00895E6F">
      <w:pPr>
        <w:pStyle w:val="NormalWeb"/>
        <w:numPr>
          <w:ilvl w:val="0"/>
          <w:numId w:val="17"/>
        </w:numPr>
        <w:shd w:val="clear" w:color="auto" w:fill="FFFFFF"/>
        <w:rPr>
          <w:rFonts w:ascii="Avenir Book" w:hAnsi="Avenir Book" w:cstheme="minorHAnsi"/>
          <w:color w:val="000000"/>
        </w:rPr>
      </w:pPr>
      <w:r w:rsidRPr="00354DB4">
        <w:rPr>
          <w:rFonts w:ascii="Avenir Book" w:hAnsi="Avenir Book" w:cstheme="minorHAnsi"/>
          <w:color w:val="000000"/>
        </w:rPr>
        <w:t>Australian Drinking Water Guidelines (2011)</w:t>
      </w:r>
    </w:p>
    <w:p w14:paraId="2DC93FCE" w14:textId="4BA5144D" w:rsidR="00354DB4" w:rsidRPr="00354DB4" w:rsidRDefault="00354DB4" w:rsidP="00895E6F">
      <w:pPr>
        <w:pStyle w:val="NormalWeb"/>
        <w:numPr>
          <w:ilvl w:val="0"/>
          <w:numId w:val="17"/>
        </w:numPr>
        <w:shd w:val="clear" w:color="auto" w:fill="FFFFFF"/>
        <w:rPr>
          <w:rFonts w:ascii="Avenir Book" w:hAnsi="Avenir Book" w:cstheme="minorHAnsi"/>
          <w:color w:val="000000"/>
        </w:rPr>
      </w:pPr>
      <w:r w:rsidRPr="00354DB4">
        <w:rPr>
          <w:rFonts w:ascii="Avenir Book" w:hAnsi="Avenir Book" w:cstheme="minorHAnsi"/>
          <w:color w:val="000000"/>
        </w:rPr>
        <w:t>Australia New Zealand Food Standards Code</w:t>
      </w:r>
    </w:p>
    <w:p w14:paraId="1CA18952" w14:textId="1708AF3B" w:rsidR="00354DB4" w:rsidRPr="00354DB4" w:rsidRDefault="00354DB4" w:rsidP="00895E6F">
      <w:pPr>
        <w:pStyle w:val="NormalWeb"/>
        <w:numPr>
          <w:ilvl w:val="0"/>
          <w:numId w:val="17"/>
        </w:numPr>
        <w:shd w:val="clear" w:color="auto" w:fill="FFFFFF"/>
        <w:rPr>
          <w:rFonts w:ascii="Avenir Book" w:hAnsi="Avenir Book" w:cstheme="minorHAnsi"/>
          <w:color w:val="000000"/>
        </w:rPr>
      </w:pPr>
      <w:r w:rsidRPr="00354DB4">
        <w:rPr>
          <w:rFonts w:ascii="Avenir Book" w:hAnsi="Avenir Book" w:cstheme="minorHAnsi"/>
          <w:color w:val="000000"/>
        </w:rPr>
        <w:t>National Residue Survey</w:t>
      </w:r>
    </w:p>
    <w:p w14:paraId="7C1DCD33" w14:textId="43373B6E" w:rsidR="00354DB4" w:rsidRPr="00354DB4" w:rsidRDefault="00354DB4" w:rsidP="00895E6F">
      <w:pPr>
        <w:pStyle w:val="NormalWeb"/>
        <w:numPr>
          <w:ilvl w:val="0"/>
          <w:numId w:val="17"/>
        </w:numPr>
        <w:shd w:val="clear" w:color="auto" w:fill="FFFFFF"/>
        <w:rPr>
          <w:rFonts w:ascii="Avenir Book" w:hAnsi="Avenir Book" w:cstheme="minorHAnsi"/>
          <w:color w:val="000000"/>
        </w:rPr>
      </w:pPr>
      <w:r w:rsidRPr="00354DB4">
        <w:rPr>
          <w:rFonts w:ascii="Avenir Book" w:hAnsi="Avenir Book" w:cstheme="minorHAnsi"/>
          <w:color w:val="000000"/>
        </w:rPr>
        <w:t>National Environment Protection (Air Toxics) Measure.</w:t>
      </w:r>
    </w:p>
    <w:p w14:paraId="1E56297F" w14:textId="77777777" w:rsidR="00354DB4" w:rsidRPr="00354DB4" w:rsidRDefault="00354DB4" w:rsidP="00354DB4">
      <w:pPr>
        <w:pStyle w:val="NormalWeb"/>
        <w:shd w:val="clear" w:color="auto" w:fill="FFFFFF"/>
        <w:rPr>
          <w:rFonts w:ascii="Avenir Book" w:hAnsi="Avenir Book" w:cstheme="minorHAnsi"/>
          <w:color w:val="000000"/>
        </w:rPr>
      </w:pPr>
      <w:r w:rsidRPr="00354DB4">
        <w:rPr>
          <w:rFonts w:ascii="Avenir Book" w:hAnsi="Avenir Book" w:cstheme="minorHAnsi"/>
          <w:color w:val="000000"/>
        </w:rPr>
        <w:t>State/territory government agencies regulate water usage via the allocation of water licences and dam management. They also decide on the timing and amount of water able to be accessed by irrigators. Water legislation focuses on developing efficient water usage for agriculture while limiting its environmental effect, particularly in the Murray–Darling Basin, which supports a large proportion of Australia’s fruit and vegetable crops.</w:t>
      </w:r>
    </w:p>
    <w:p w14:paraId="5201E47B" w14:textId="77777777" w:rsidR="00354DB4" w:rsidRPr="005D5A42" w:rsidRDefault="00354DB4" w:rsidP="00354DB4">
      <w:pPr>
        <w:pStyle w:val="BodyTextSI"/>
      </w:pPr>
    </w:p>
    <w:p w14:paraId="2DA7169B" w14:textId="0ABF2043" w:rsidR="00354DB4" w:rsidRPr="004C421D" w:rsidRDefault="00354DB4" w:rsidP="00354DB4">
      <w:pPr>
        <w:pStyle w:val="Heading4SI"/>
      </w:pPr>
      <w:r>
        <w:lastRenderedPageBreak/>
        <w:t>Food regulations</w:t>
      </w:r>
    </w:p>
    <w:p w14:paraId="3218E489" w14:textId="77777777" w:rsidR="00354DB4" w:rsidRDefault="00354DB4" w:rsidP="00354DB4">
      <w:pPr>
        <w:pStyle w:val="NormalWeb"/>
        <w:shd w:val="clear" w:color="auto" w:fill="FFFFFF"/>
        <w:rPr>
          <w:rFonts w:ascii="Avenir Book" w:hAnsi="Avenir Book" w:cstheme="minorHAnsi"/>
          <w:color w:val="000000"/>
        </w:rPr>
      </w:pPr>
      <w:r w:rsidRPr="00354DB4">
        <w:rPr>
          <w:rFonts w:ascii="Avenir Book" w:hAnsi="Avenir Book" w:cstheme="minorHAnsi"/>
          <w:color w:val="000000"/>
        </w:rPr>
        <w:t>Food Standards Australia New Zealand (FSANZ) establish standards relevant to the agriculture industry, particularly for poultry, meat, dairy, eggs and egg products, and seed sprout. FSANZ aims to strengthen food safety by reducing the incidence of foodborne illness associated with seed sprouts and eggs or egg products. In addition, dairy standards outline the implementation of documented food safety programs for primary dairy production and for the collection, transportation and processing of raw milk, as designed to protect public health across all jurisdictions.</w:t>
      </w:r>
    </w:p>
    <w:p w14:paraId="00041817" w14:textId="636606BC" w:rsidR="00354DB4" w:rsidRDefault="00354DB4" w:rsidP="00354DB4">
      <w:pPr>
        <w:pStyle w:val="NormalWeb"/>
        <w:shd w:val="clear" w:color="auto" w:fill="FFFFFF"/>
        <w:rPr>
          <w:rFonts w:ascii="Avenir Book" w:hAnsi="Avenir Book" w:cstheme="minorHAnsi"/>
          <w:color w:val="000000"/>
        </w:rPr>
      </w:pPr>
      <w:proofErr w:type="gramStart"/>
      <w:r w:rsidRPr="00354DB4">
        <w:rPr>
          <w:rFonts w:ascii="Avenir Book" w:hAnsi="Avenir Book" w:cstheme="minorHAnsi"/>
          <w:color w:val="000000"/>
        </w:rPr>
        <w:t>The majority of</w:t>
      </w:r>
      <w:proofErr w:type="gramEnd"/>
      <w:r w:rsidRPr="00354DB4">
        <w:rPr>
          <w:rFonts w:ascii="Avenir Book" w:hAnsi="Avenir Book" w:cstheme="minorHAnsi"/>
          <w:color w:val="000000"/>
        </w:rPr>
        <w:t xml:space="preserve"> fresh horticultural produce in Australia is grown under industry-based food safety schemes.</w:t>
      </w:r>
      <w:r>
        <w:rPr>
          <w:rStyle w:val="FootnoteReference"/>
          <w:rFonts w:ascii="Avenir Book" w:hAnsi="Avenir Book" w:cstheme="minorHAnsi"/>
          <w:color w:val="000000"/>
        </w:rPr>
        <w:footnoteReference w:id="3"/>
      </w:r>
      <w:r w:rsidRPr="00354DB4">
        <w:rPr>
          <w:rFonts w:ascii="Avenir Book" w:hAnsi="Avenir Book" w:cstheme="minorHAnsi"/>
          <w:color w:val="000000"/>
        </w:rPr>
        <w:t xml:space="preserve"> These schemes, and several state/territory regulations and guidelines, work to minimise risks linked to microbiological, chemical and physical factors that may be present in fresh produce for sale in Australia.</w:t>
      </w:r>
    </w:p>
    <w:p w14:paraId="3F066E94" w14:textId="77777777" w:rsidR="00B75B2E" w:rsidRPr="00354DB4" w:rsidRDefault="00B75B2E" w:rsidP="00354DB4">
      <w:pPr>
        <w:pStyle w:val="NormalWeb"/>
        <w:shd w:val="clear" w:color="auto" w:fill="FFFFFF"/>
        <w:rPr>
          <w:rFonts w:ascii="Avenir Book" w:hAnsi="Avenir Book" w:cstheme="minorHAnsi"/>
          <w:color w:val="000000"/>
        </w:rPr>
      </w:pPr>
    </w:p>
    <w:p w14:paraId="381CE64D" w14:textId="77777777" w:rsidR="00354DB4" w:rsidRPr="00354DB4" w:rsidRDefault="00354DB4" w:rsidP="00354DB4">
      <w:pPr>
        <w:pStyle w:val="NormalWeb"/>
        <w:shd w:val="clear" w:color="auto" w:fill="FFFFFF"/>
        <w:rPr>
          <w:rFonts w:ascii="Avenir Book" w:hAnsi="Avenir Book" w:cstheme="minorHAnsi"/>
          <w:color w:val="000000"/>
        </w:rPr>
      </w:pPr>
      <w:r w:rsidRPr="00354DB4">
        <w:rPr>
          <w:rFonts w:ascii="Avenir Book" w:hAnsi="Avenir Book" w:cstheme="minorHAnsi"/>
          <w:color w:val="000000"/>
        </w:rPr>
        <w:t>State/territory government regulations and guidelines follow.</w:t>
      </w:r>
    </w:p>
    <w:p w14:paraId="47BBD770" w14:textId="5C1D490A" w:rsidR="00354DB4" w:rsidRPr="00354DB4" w:rsidRDefault="00354DB4" w:rsidP="00895E6F">
      <w:pPr>
        <w:pStyle w:val="NormalWeb"/>
        <w:numPr>
          <w:ilvl w:val="0"/>
          <w:numId w:val="18"/>
        </w:numPr>
        <w:shd w:val="clear" w:color="auto" w:fill="FFFFFF"/>
        <w:rPr>
          <w:rFonts w:ascii="Avenir Book" w:hAnsi="Avenir Book" w:cstheme="minorHAnsi"/>
          <w:color w:val="000000"/>
        </w:rPr>
      </w:pPr>
      <w:r w:rsidRPr="00354DB4">
        <w:rPr>
          <w:rFonts w:ascii="Avenir Book" w:hAnsi="Avenir Book" w:cstheme="minorHAnsi"/>
          <w:color w:val="000000"/>
        </w:rPr>
        <w:t>The Food (Plant Products Food Safety Scheme) Regulation (2005) (NSW) provides specific control measures to manage the safe production and supply of seed sprouts, fresh-cut fruit and vegetables, and juices.</w:t>
      </w:r>
    </w:p>
    <w:p w14:paraId="0C44C59F" w14:textId="6A87F04D" w:rsidR="00354DB4" w:rsidRPr="00354DB4" w:rsidRDefault="00354DB4" w:rsidP="00895E6F">
      <w:pPr>
        <w:pStyle w:val="NormalWeb"/>
        <w:numPr>
          <w:ilvl w:val="0"/>
          <w:numId w:val="18"/>
        </w:numPr>
        <w:shd w:val="clear" w:color="auto" w:fill="FFFFFF"/>
        <w:rPr>
          <w:rFonts w:ascii="Avenir Book" w:hAnsi="Avenir Book" w:cstheme="minorHAnsi"/>
          <w:color w:val="000000"/>
        </w:rPr>
      </w:pPr>
      <w:r w:rsidRPr="00354DB4">
        <w:rPr>
          <w:rFonts w:ascii="Avenir Book" w:hAnsi="Avenir Book" w:cstheme="minorHAnsi"/>
          <w:color w:val="000000"/>
        </w:rPr>
        <w:t>The Food Production (Safety) Regulation (2014) (QLD) sets out requirements for the transport and processing of fresh primary produce.</w:t>
      </w:r>
    </w:p>
    <w:p w14:paraId="455E27BF" w14:textId="7C1ABAD9" w:rsidR="00354DB4" w:rsidRPr="00354DB4" w:rsidRDefault="00354DB4" w:rsidP="00895E6F">
      <w:pPr>
        <w:pStyle w:val="NormalWeb"/>
        <w:numPr>
          <w:ilvl w:val="0"/>
          <w:numId w:val="18"/>
        </w:numPr>
        <w:shd w:val="clear" w:color="auto" w:fill="FFFFFF"/>
        <w:rPr>
          <w:rFonts w:ascii="Avenir Book" w:hAnsi="Avenir Book" w:cstheme="minorHAnsi"/>
          <w:color w:val="000000"/>
        </w:rPr>
      </w:pPr>
      <w:r w:rsidRPr="00354DB4">
        <w:rPr>
          <w:rFonts w:ascii="Avenir Book" w:hAnsi="Avenir Book" w:cstheme="minorHAnsi"/>
          <w:color w:val="000000"/>
        </w:rPr>
        <w:t>The NSW Food Authority’s Industry Guide for the Development of a Food Safety Program (High Priority Plant Products Industry) (2005) covers seed sprouts, fresh-cut fruits and vegetables, unpasteurised juice, and vegetables in oil.</w:t>
      </w:r>
    </w:p>
    <w:p w14:paraId="4827B310" w14:textId="287F00DB" w:rsidR="00354DB4" w:rsidRPr="00354DB4" w:rsidRDefault="00354DB4" w:rsidP="00895E6F">
      <w:pPr>
        <w:pStyle w:val="NormalWeb"/>
        <w:numPr>
          <w:ilvl w:val="0"/>
          <w:numId w:val="18"/>
        </w:numPr>
        <w:shd w:val="clear" w:color="auto" w:fill="FFFFFF"/>
        <w:rPr>
          <w:rFonts w:ascii="Avenir Book" w:hAnsi="Avenir Book" w:cstheme="minorHAnsi"/>
          <w:color w:val="000000"/>
        </w:rPr>
      </w:pPr>
      <w:r w:rsidRPr="00354DB4">
        <w:rPr>
          <w:rFonts w:ascii="Avenir Book" w:hAnsi="Avenir Book" w:cstheme="minorHAnsi"/>
          <w:color w:val="000000"/>
        </w:rPr>
        <w:t>Guidelines for On-Farm Food Safety for Fresh Produce (2004) was published by the Australian Government Department of Agriculture, Fisheries and Forestry, now the Federal Department of Agriculture and Water Resources.</w:t>
      </w:r>
    </w:p>
    <w:p w14:paraId="7D8D7A8F" w14:textId="77777777" w:rsidR="00B75B2E" w:rsidRDefault="00B75B2E" w:rsidP="00354DB4">
      <w:pPr>
        <w:pStyle w:val="NormalWeb"/>
        <w:shd w:val="clear" w:color="auto" w:fill="FFFFFF"/>
        <w:rPr>
          <w:rFonts w:ascii="Avenir Book" w:hAnsi="Avenir Book" w:cstheme="minorHAnsi"/>
          <w:color w:val="000000"/>
        </w:rPr>
      </w:pPr>
    </w:p>
    <w:p w14:paraId="360D3D23" w14:textId="10BEAA07" w:rsidR="00354DB4" w:rsidRPr="00354DB4" w:rsidRDefault="00354DB4" w:rsidP="00354DB4">
      <w:pPr>
        <w:pStyle w:val="NormalWeb"/>
        <w:shd w:val="clear" w:color="auto" w:fill="FFFFFF"/>
        <w:rPr>
          <w:rFonts w:ascii="Avenir Book" w:hAnsi="Avenir Book" w:cstheme="minorHAnsi"/>
          <w:color w:val="000000"/>
        </w:rPr>
      </w:pPr>
      <w:r w:rsidRPr="00354DB4">
        <w:rPr>
          <w:rFonts w:ascii="Avenir Book" w:hAnsi="Avenir Book" w:cstheme="minorHAnsi"/>
          <w:color w:val="000000"/>
        </w:rPr>
        <w:t>Industry food safety schemes in Australia include:</w:t>
      </w:r>
    </w:p>
    <w:p w14:paraId="34EF36C4" w14:textId="2B50AC4C" w:rsidR="00354DB4" w:rsidRPr="00354DB4" w:rsidRDefault="00354DB4" w:rsidP="00895E6F">
      <w:pPr>
        <w:pStyle w:val="NormalWeb"/>
        <w:numPr>
          <w:ilvl w:val="0"/>
          <w:numId w:val="19"/>
        </w:numPr>
        <w:shd w:val="clear" w:color="auto" w:fill="FFFFFF"/>
        <w:rPr>
          <w:rFonts w:ascii="Avenir Book" w:hAnsi="Avenir Book" w:cstheme="minorHAnsi"/>
          <w:color w:val="000000"/>
        </w:rPr>
      </w:pPr>
      <w:r w:rsidRPr="00354DB4">
        <w:rPr>
          <w:rFonts w:ascii="Avenir Book" w:hAnsi="Avenir Book" w:cstheme="minorHAnsi"/>
          <w:color w:val="000000"/>
        </w:rPr>
        <w:t>HACCP Australia</w:t>
      </w:r>
    </w:p>
    <w:p w14:paraId="5814C8E1" w14:textId="50EEB82D" w:rsidR="00354DB4" w:rsidRPr="00354DB4" w:rsidRDefault="00354DB4" w:rsidP="00895E6F">
      <w:pPr>
        <w:pStyle w:val="NormalWeb"/>
        <w:numPr>
          <w:ilvl w:val="0"/>
          <w:numId w:val="19"/>
        </w:numPr>
        <w:shd w:val="clear" w:color="auto" w:fill="FFFFFF"/>
        <w:rPr>
          <w:rFonts w:ascii="Avenir Book" w:hAnsi="Avenir Book" w:cstheme="minorHAnsi"/>
          <w:color w:val="000000"/>
        </w:rPr>
      </w:pPr>
      <w:proofErr w:type="spellStart"/>
      <w:r w:rsidRPr="00354DB4">
        <w:rPr>
          <w:rFonts w:ascii="Avenir Book" w:hAnsi="Avenir Book" w:cstheme="minorHAnsi"/>
          <w:color w:val="000000"/>
        </w:rPr>
        <w:t>Freshcare</w:t>
      </w:r>
      <w:proofErr w:type="spellEnd"/>
    </w:p>
    <w:p w14:paraId="306B4B1D" w14:textId="711C64A5" w:rsidR="00354DB4" w:rsidRPr="00354DB4" w:rsidRDefault="00354DB4" w:rsidP="00895E6F">
      <w:pPr>
        <w:pStyle w:val="NormalWeb"/>
        <w:numPr>
          <w:ilvl w:val="0"/>
          <w:numId w:val="19"/>
        </w:numPr>
        <w:shd w:val="clear" w:color="auto" w:fill="FFFFFF"/>
        <w:rPr>
          <w:rFonts w:ascii="Avenir Book" w:hAnsi="Avenir Book" w:cstheme="minorHAnsi"/>
          <w:color w:val="000000"/>
        </w:rPr>
      </w:pPr>
      <w:proofErr w:type="spellStart"/>
      <w:r w:rsidRPr="00354DB4">
        <w:rPr>
          <w:rFonts w:ascii="Avenir Book" w:hAnsi="Avenir Book" w:cstheme="minorHAnsi"/>
          <w:color w:val="000000"/>
        </w:rPr>
        <w:t>GlobalGAP</w:t>
      </w:r>
      <w:proofErr w:type="spellEnd"/>
    </w:p>
    <w:p w14:paraId="1F2D562D" w14:textId="694E0706" w:rsidR="00354DB4" w:rsidRPr="00354DB4" w:rsidRDefault="00354DB4" w:rsidP="00895E6F">
      <w:pPr>
        <w:pStyle w:val="NormalWeb"/>
        <w:numPr>
          <w:ilvl w:val="0"/>
          <w:numId w:val="19"/>
        </w:numPr>
        <w:shd w:val="clear" w:color="auto" w:fill="FFFFFF"/>
        <w:rPr>
          <w:rFonts w:ascii="Avenir Book" w:hAnsi="Avenir Book" w:cstheme="minorHAnsi"/>
          <w:color w:val="000000"/>
        </w:rPr>
      </w:pPr>
      <w:r w:rsidRPr="00354DB4">
        <w:rPr>
          <w:rFonts w:ascii="Avenir Book" w:hAnsi="Avenir Book" w:cstheme="minorHAnsi"/>
          <w:color w:val="000000"/>
        </w:rPr>
        <w:t>supermarket quality and food safety schemes.</w:t>
      </w:r>
    </w:p>
    <w:p w14:paraId="1E70631D" w14:textId="77777777" w:rsidR="00B75B2E" w:rsidRPr="005D5A42" w:rsidRDefault="00B75B2E" w:rsidP="00B75B2E">
      <w:pPr>
        <w:pStyle w:val="BodyTextSI"/>
      </w:pPr>
    </w:p>
    <w:p w14:paraId="58970170" w14:textId="6CCFA4E1" w:rsidR="00B75B2E" w:rsidRPr="004C421D" w:rsidRDefault="00B75B2E" w:rsidP="00B75B2E">
      <w:pPr>
        <w:pStyle w:val="Heading4SI"/>
      </w:pPr>
      <w:r>
        <w:t>Animal reproduction</w:t>
      </w:r>
    </w:p>
    <w:p w14:paraId="09F043FB" w14:textId="77777777" w:rsidR="00B75B2E" w:rsidRPr="00B75B2E" w:rsidRDefault="00B75B2E" w:rsidP="00B75B2E">
      <w:pPr>
        <w:rPr>
          <w:rFonts w:ascii="Avenir Book" w:hAnsi="Avenir Book"/>
        </w:rPr>
      </w:pPr>
      <w:r w:rsidRPr="00B75B2E">
        <w:rPr>
          <w:rFonts w:ascii="Avenir Book" w:hAnsi="Avenir Book"/>
        </w:rPr>
        <w:t>RTOs are advised to check the legislative and regulatory requirements for units related to artificial insemination/animal reproduction. These units include statements such as the following from AHCLSK338 Conduct dropped ovary technique procedures for spaying cattle:</w:t>
      </w:r>
    </w:p>
    <w:p w14:paraId="616C9AC5" w14:textId="77777777" w:rsidR="00B75B2E" w:rsidRPr="00895E6F" w:rsidRDefault="00B75B2E" w:rsidP="00895E6F">
      <w:pPr>
        <w:ind w:left="720"/>
        <w:rPr>
          <w:rFonts w:ascii="Avenir Book" w:hAnsi="Avenir Book"/>
          <w:i/>
          <w:iCs/>
        </w:rPr>
      </w:pPr>
      <w:r w:rsidRPr="00895E6F">
        <w:rPr>
          <w:rFonts w:ascii="Avenir Book" w:hAnsi="Avenir Book"/>
          <w:i/>
          <w:iCs/>
        </w:rPr>
        <w:t>‘Regulatory requirements apply in some jurisdictions restricting the conduct of the DOT procedure to registered veterinarians. Users are advised to check with the relevant state or territory regulatory authority.’</w:t>
      </w:r>
    </w:p>
    <w:p w14:paraId="1E7A6650" w14:textId="36019BB9" w:rsidR="00B75B2E" w:rsidRPr="00B75B2E" w:rsidRDefault="00B75B2E" w:rsidP="00B75B2E">
      <w:pPr>
        <w:rPr>
          <w:rFonts w:ascii="Avenir Book" w:hAnsi="Avenir Book"/>
        </w:rPr>
      </w:pPr>
      <w:r w:rsidRPr="00B75B2E">
        <w:rPr>
          <w:rFonts w:ascii="Avenir Book" w:hAnsi="Avenir Book"/>
        </w:rPr>
        <w:t xml:space="preserve">Note: A lay spaying accreditation scheme (https://www.agforceqld.org.au/knowledgebase/article/AGF-01872) for cattle </w:t>
      </w:r>
      <w:proofErr w:type="spellStart"/>
      <w:r w:rsidRPr="00B75B2E">
        <w:rPr>
          <w:rFonts w:ascii="Avenir Book" w:hAnsi="Avenir Book"/>
        </w:rPr>
        <w:t>spayers</w:t>
      </w:r>
      <w:proofErr w:type="spellEnd"/>
      <w:r w:rsidRPr="00B75B2E">
        <w:rPr>
          <w:rFonts w:ascii="Avenir Book" w:hAnsi="Avenir Book"/>
        </w:rPr>
        <w:t xml:space="preserve"> has </w:t>
      </w:r>
      <w:r w:rsidRPr="00B75B2E">
        <w:rPr>
          <w:rFonts w:ascii="Avenir Book" w:hAnsi="Avenir Book"/>
        </w:rPr>
        <w:lastRenderedPageBreak/>
        <w:t xml:space="preserve">been developed by the beef cattle industry, including Cattle Australia, Meat and Livestock Australia and </w:t>
      </w:r>
      <w:proofErr w:type="spellStart"/>
      <w:r w:rsidRPr="00B75B2E">
        <w:rPr>
          <w:rFonts w:ascii="Avenir Book" w:hAnsi="Avenir Book"/>
        </w:rPr>
        <w:t>AgForce</w:t>
      </w:r>
      <w:proofErr w:type="spellEnd"/>
      <w:r w:rsidRPr="00B75B2E">
        <w:rPr>
          <w:rFonts w:ascii="Avenir Book" w:hAnsi="Avenir Book"/>
        </w:rPr>
        <w:t>. This accreditation scheme may impact the regulatory requirements of units related to artificial insemination/animal reproduction.</w:t>
      </w:r>
    </w:p>
    <w:p w14:paraId="200699EA" w14:textId="77777777" w:rsidR="00B75B2E" w:rsidRPr="005D5A42" w:rsidRDefault="00B75B2E" w:rsidP="00B75B2E">
      <w:pPr>
        <w:pStyle w:val="BodyTextSI"/>
      </w:pPr>
    </w:p>
    <w:p w14:paraId="384B6EC4" w14:textId="0B6E8AE8" w:rsidR="00B75B2E" w:rsidRPr="004C421D" w:rsidRDefault="00B75B2E" w:rsidP="00B75B2E">
      <w:pPr>
        <w:pStyle w:val="Heading4SI"/>
      </w:pPr>
      <w:r>
        <w:t>Livestock management legislation</w:t>
      </w:r>
    </w:p>
    <w:p w14:paraId="054DA707" w14:textId="77777777" w:rsidR="00B75B2E" w:rsidRDefault="00B75B2E" w:rsidP="00B75B2E">
      <w:pPr>
        <w:rPr>
          <w:rFonts w:ascii="Avenir Book" w:hAnsi="Avenir Book"/>
        </w:rPr>
      </w:pPr>
      <w:r w:rsidRPr="00B75B2E">
        <w:rPr>
          <w:rFonts w:ascii="Avenir Book" w:hAnsi="Avenir Book"/>
        </w:rPr>
        <w:t>The Department of Agriculture and Water Resources (DAWR) provides policies and legislation concerning aspects of livestock management and biosecurity, including live exports and supply of agricultural chemicals. DAWR is responsible for Australia's livestock export licences, and regularly carries out inspections to ensure that biosecurity, traceability and animal welfare requirements are being met for both export-licensing and importing countries. DAWR also manages quarantine controls at borders and provides import and export inspection and certification.</w:t>
      </w:r>
    </w:p>
    <w:p w14:paraId="3F176731" w14:textId="77777777" w:rsidR="00B75B2E" w:rsidRPr="00B75B2E" w:rsidRDefault="00B75B2E" w:rsidP="00B75B2E">
      <w:pPr>
        <w:rPr>
          <w:rFonts w:ascii="Avenir Book" w:hAnsi="Avenir Book"/>
        </w:rPr>
      </w:pPr>
    </w:p>
    <w:p w14:paraId="0F0D7B35" w14:textId="77777777" w:rsidR="00B75B2E" w:rsidRPr="00B75B2E" w:rsidRDefault="00B75B2E" w:rsidP="00B75B2E">
      <w:pPr>
        <w:rPr>
          <w:rFonts w:ascii="Avenir Book" w:hAnsi="Avenir Book"/>
        </w:rPr>
      </w:pPr>
      <w:r w:rsidRPr="00B75B2E">
        <w:rPr>
          <w:rFonts w:ascii="Avenir Book" w:hAnsi="Avenir Book"/>
        </w:rPr>
        <w:t>In addition, state/territory governments are responsible for livestock management, disease response and welfare arrangements within their jurisdictions, in terms of both enforcing national standards and agreements and administering state/territory legislation.</w:t>
      </w:r>
    </w:p>
    <w:p w14:paraId="1C3189F3" w14:textId="574CBB4B" w:rsidR="00255FD6" w:rsidRPr="00354DB4" w:rsidRDefault="00255FD6">
      <w:pPr>
        <w:rPr>
          <w:rFonts w:ascii="Avenir Book" w:hAnsi="Avenir Book"/>
        </w:rPr>
      </w:pPr>
    </w:p>
    <w:p w14:paraId="3809FA52" w14:textId="077F622C" w:rsidR="00B75B2E" w:rsidRPr="00B75B2E" w:rsidRDefault="00B75B2E" w:rsidP="00B75B2E">
      <w:pPr>
        <w:rPr>
          <w:rFonts w:ascii="Avenir Book" w:hAnsi="Avenir Book"/>
        </w:rPr>
      </w:pPr>
      <w:r w:rsidRPr="00B75B2E">
        <w:rPr>
          <w:rFonts w:ascii="Avenir Book" w:hAnsi="Avenir Book"/>
        </w:rPr>
        <w:t>Legislation relating to livestock management includes:</w:t>
      </w:r>
      <w:r>
        <w:rPr>
          <w:rStyle w:val="FootnoteReference"/>
          <w:rFonts w:ascii="Avenir Book" w:hAnsi="Avenir Book"/>
        </w:rPr>
        <w:footnoteReference w:id="4"/>
      </w:r>
    </w:p>
    <w:p w14:paraId="71D4F3FA" w14:textId="77777777" w:rsidR="00B75B2E" w:rsidRPr="00B75B2E" w:rsidRDefault="00B75B2E" w:rsidP="00B75B2E">
      <w:pPr>
        <w:rPr>
          <w:rFonts w:ascii="Avenir Book" w:hAnsi="Avenir Book"/>
        </w:rPr>
      </w:pPr>
      <w:r w:rsidRPr="00B75B2E">
        <w:rPr>
          <w:rFonts w:ascii="Avenir Book" w:hAnsi="Avenir Book"/>
        </w:rPr>
        <w:t>· Agricultural and Veterinary Chemicals (Control of Use) Act 1992 (IC)</w:t>
      </w:r>
    </w:p>
    <w:p w14:paraId="11A0B602" w14:textId="77777777" w:rsidR="00B75B2E" w:rsidRPr="00B75B2E" w:rsidRDefault="00B75B2E" w:rsidP="00B75B2E">
      <w:pPr>
        <w:rPr>
          <w:rFonts w:ascii="Avenir Book" w:hAnsi="Avenir Book"/>
        </w:rPr>
      </w:pPr>
      <w:r w:rsidRPr="00B75B2E">
        <w:rPr>
          <w:rFonts w:ascii="Avenir Book" w:hAnsi="Avenir Book"/>
        </w:rPr>
        <w:t>· Agricultural and Veterinary Chemicals (Control of Use) Regulations 2007 (VIC)</w:t>
      </w:r>
    </w:p>
    <w:p w14:paraId="5D732BB0" w14:textId="77777777" w:rsidR="00B75B2E" w:rsidRPr="00B75B2E" w:rsidRDefault="00B75B2E" w:rsidP="00B75B2E">
      <w:pPr>
        <w:rPr>
          <w:rFonts w:ascii="Avenir Book" w:hAnsi="Avenir Book"/>
        </w:rPr>
      </w:pPr>
      <w:r w:rsidRPr="00B75B2E">
        <w:rPr>
          <w:rFonts w:ascii="Avenir Book" w:hAnsi="Avenir Book"/>
        </w:rPr>
        <w:t>· Impounding of Livestock Act 1994 (VIC)</w:t>
      </w:r>
    </w:p>
    <w:p w14:paraId="265FEB49" w14:textId="77777777" w:rsidR="00B75B2E" w:rsidRPr="00B75B2E" w:rsidRDefault="00B75B2E" w:rsidP="00B75B2E">
      <w:pPr>
        <w:rPr>
          <w:rFonts w:ascii="Avenir Book" w:hAnsi="Avenir Book"/>
        </w:rPr>
      </w:pPr>
      <w:r w:rsidRPr="00B75B2E">
        <w:rPr>
          <w:rFonts w:ascii="Avenir Book" w:hAnsi="Avenir Book"/>
        </w:rPr>
        <w:t>· Impounding of Livestock Regulations 2008 (VIC)</w:t>
      </w:r>
    </w:p>
    <w:p w14:paraId="48D21C05" w14:textId="77777777" w:rsidR="00B75B2E" w:rsidRPr="00B75B2E" w:rsidRDefault="00B75B2E" w:rsidP="00B75B2E">
      <w:pPr>
        <w:rPr>
          <w:rFonts w:ascii="Avenir Book" w:hAnsi="Avenir Book"/>
        </w:rPr>
      </w:pPr>
      <w:r w:rsidRPr="00B75B2E">
        <w:rPr>
          <w:rFonts w:ascii="Avenir Book" w:hAnsi="Avenir Book"/>
        </w:rPr>
        <w:t>· Livestock Disease Control Act 1994 (VIC)</w:t>
      </w:r>
    </w:p>
    <w:p w14:paraId="3F89D71D" w14:textId="77777777" w:rsidR="00B75B2E" w:rsidRPr="00B75B2E" w:rsidRDefault="00B75B2E" w:rsidP="00B75B2E">
      <w:pPr>
        <w:rPr>
          <w:rFonts w:ascii="Avenir Book" w:hAnsi="Avenir Book"/>
        </w:rPr>
      </w:pPr>
      <w:r w:rsidRPr="00B75B2E">
        <w:rPr>
          <w:rFonts w:ascii="Avenir Book" w:hAnsi="Avenir Book"/>
        </w:rPr>
        <w:t>· Livestock Disease Control Regulations 2006 (VIC)</w:t>
      </w:r>
    </w:p>
    <w:p w14:paraId="260E5192" w14:textId="77777777" w:rsidR="00B75B2E" w:rsidRPr="00B75B2E" w:rsidRDefault="00B75B2E" w:rsidP="00B75B2E">
      <w:pPr>
        <w:rPr>
          <w:rFonts w:ascii="Avenir Book" w:hAnsi="Avenir Book"/>
        </w:rPr>
      </w:pPr>
      <w:r w:rsidRPr="00B75B2E">
        <w:rPr>
          <w:rFonts w:ascii="Avenir Book" w:hAnsi="Avenir Book"/>
        </w:rPr>
        <w:t>· Livestock Management Act 2010 (VIC)</w:t>
      </w:r>
    </w:p>
    <w:p w14:paraId="0E5C264F" w14:textId="77777777" w:rsidR="00B75B2E" w:rsidRPr="00B75B2E" w:rsidRDefault="00B75B2E" w:rsidP="00B75B2E">
      <w:pPr>
        <w:rPr>
          <w:rFonts w:ascii="Avenir Book" w:hAnsi="Avenir Book"/>
        </w:rPr>
      </w:pPr>
      <w:r w:rsidRPr="00B75B2E">
        <w:rPr>
          <w:rFonts w:ascii="Avenir Book" w:hAnsi="Avenir Book"/>
        </w:rPr>
        <w:t>· Livestock Management Regulations 2011 (VIC).</w:t>
      </w:r>
    </w:p>
    <w:p w14:paraId="69AFFB11" w14:textId="77777777" w:rsidR="00B75B2E" w:rsidRPr="005D5A42" w:rsidRDefault="00B75B2E" w:rsidP="00B75B2E">
      <w:pPr>
        <w:pStyle w:val="BodyTextSI"/>
      </w:pPr>
    </w:p>
    <w:p w14:paraId="1F3F9A1D" w14:textId="2F6BF77B" w:rsidR="00B75B2E" w:rsidRPr="004C421D" w:rsidRDefault="00B75B2E" w:rsidP="00B75B2E">
      <w:pPr>
        <w:pStyle w:val="Heading4SI"/>
      </w:pPr>
      <w:r>
        <w:t>Australian ruminant feed ban</w:t>
      </w:r>
    </w:p>
    <w:p w14:paraId="3FB949D5" w14:textId="77777777" w:rsidR="00B75B2E" w:rsidRDefault="00B75B2E" w:rsidP="00B75B2E">
      <w:pPr>
        <w:rPr>
          <w:rFonts w:ascii="Avenir Book" w:hAnsi="Avenir Book"/>
        </w:rPr>
      </w:pPr>
      <w:r w:rsidRPr="00B75B2E">
        <w:rPr>
          <w:rFonts w:ascii="Avenir Book" w:hAnsi="Avenir Book"/>
        </w:rPr>
        <w:t>Australia has an inclusive ban on the feeding of restricted animal material (RAM), including meat and bone meal (MBM) derived from all vertebrates, including fish and birds, to all ruminant animals. An enforceable ban seeks to minimise the risk of spreading the infectious agent in mad cow disease, in the unlikely event that it is introduced to Australia. The ruminant feed ban is nationally coordinated by Animal Health Australia (AHA) and is part of a comprehensive national TSE Freedom Assurance Project. The prohibition and the program target livestock producers and other end users of manufactured stockfeed, retailers of manufactured stockfeed, and stockfeed manufacturers. Each Australian state/territory adopted the ruminant feed ban in legislation, indicating feeding prohibition and requirements for labelling and RAM content.</w:t>
      </w:r>
    </w:p>
    <w:p w14:paraId="7ACA144D" w14:textId="77777777" w:rsidR="00B75B2E" w:rsidRPr="00B75B2E" w:rsidRDefault="00B75B2E" w:rsidP="00B75B2E">
      <w:pPr>
        <w:rPr>
          <w:rFonts w:ascii="Avenir Book" w:hAnsi="Avenir Book"/>
        </w:rPr>
      </w:pPr>
    </w:p>
    <w:p w14:paraId="425236BD" w14:textId="77777777" w:rsidR="00B75B2E" w:rsidRPr="00B75B2E" w:rsidRDefault="00B75B2E" w:rsidP="00B75B2E">
      <w:pPr>
        <w:rPr>
          <w:rFonts w:ascii="Avenir Book" w:hAnsi="Avenir Book"/>
        </w:rPr>
      </w:pPr>
      <w:r w:rsidRPr="00B75B2E">
        <w:rPr>
          <w:rFonts w:ascii="Avenir Book" w:hAnsi="Avenir Book"/>
        </w:rPr>
        <w:t xml:space="preserve">In addition, the industry implements the </w:t>
      </w:r>
      <w:proofErr w:type="spellStart"/>
      <w:r w:rsidRPr="00B75B2E">
        <w:rPr>
          <w:rFonts w:ascii="Avenir Book" w:hAnsi="Avenir Book"/>
        </w:rPr>
        <w:t>FeedSafe</w:t>
      </w:r>
      <w:proofErr w:type="spellEnd"/>
      <w:r w:rsidRPr="00B75B2E">
        <w:rPr>
          <w:rFonts w:ascii="Avenir Book" w:hAnsi="Avenir Book"/>
        </w:rPr>
        <w:t xml:space="preserve"> accreditation program through the Stock Feed Manufacturers’ Council of Australia (SFMCA). To achieve </w:t>
      </w:r>
      <w:proofErr w:type="spellStart"/>
      <w:r w:rsidRPr="00B75B2E">
        <w:rPr>
          <w:rFonts w:ascii="Avenir Book" w:hAnsi="Avenir Book"/>
        </w:rPr>
        <w:t>FeedSafe</w:t>
      </w:r>
      <w:proofErr w:type="spellEnd"/>
      <w:r w:rsidRPr="00B75B2E">
        <w:rPr>
          <w:rFonts w:ascii="Avenir Book" w:hAnsi="Avenir Book"/>
        </w:rPr>
        <w:t xml:space="preserve"> accreditation, feed manufacturing sites are required to address the elements of the Code of Good Manufacturing Practice for the Feed Milling Industry, particularly methods to ensure effective cleaning, flushing </w:t>
      </w:r>
      <w:r w:rsidRPr="00B75B2E">
        <w:rPr>
          <w:rFonts w:ascii="Avenir Book" w:hAnsi="Avenir Book"/>
        </w:rPr>
        <w:lastRenderedPageBreak/>
        <w:t>and sequencing between different types of stockfeed, to minimise the possibility of cross-contamination.</w:t>
      </w:r>
    </w:p>
    <w:p w14:paraId="7492B956" w14:textId="77777777" w:rsidR="00B75B2E" w:rsidRPr="005D5A42" w:rsidRDefault="00B75B2E" w:rsidP="00B75B2E">
      <w:pPr>
        <w:pStyle w:val="BodyTextSI"/>
      </w:pPr>
    </w:p>
    <w:p w14:paraId="3BDCFC92" w14:textId="3FEED68F" w:rsidR="00B75B2E" w:rsidRPr="004C421D" w:rsidRDefault="00B75B2E" w:rsidP="00B75B2E">
      <w:pPr>
        <w:pStyle w:val="Heading4SI"/>
      </w:pPr>
      <w:r>
        <w:t>Biosecurity legislation</w:t>
      </w:r>
    </w:p>
    <w:p w14:paraId="3E15A001" w14:textId="77777777" w:rsidR="00B75B2E" w:rsidRDefault="00B75B2E" w:rsidP="00B75B2E">
      <w:pPr>
        <w:rPr>
          <w:rFonts w:ascii="Avenir Book" w:hAnsi="Avenir Book"/>
        </w:rPr>
      </w:pPr>
      <w:r w:rsidRPr="00B75B2E">
        <w:rPr>
          <w:rFonts w:ascii="Avenir Book" w:hAnsi="Avenir Book"/>
        </w:rPr>
        <w:t>The Department of Agriculture and Water Resources is responsible for developing and reviewing biosecurity policies for the safe importation of animals and animal products. The Department will co-administer the new Biosecurity Act 2015 (</w:t>
      </w:r>
      <w:proofErr w:type="spellStart"/>
      <w:r w:rsidRPr="00B75B2E">
        <w:rPr>
          <w:rFonts w:ascii="Avenir Book" w:hAnsi="Avenir Book"/>
        </w:rPr>
        <w:t>Cth</w:t>
      </w:r>
      <w:proofErr w:type="spellEnd"/>
      <w:r w:rsidRPr="00B75B2E">
        <w:rPr>
          <w:rFonts w:ascii="Avenir Book" w:hAnsi="Avenir Book"/>
        </w:rPr>
        <w:t>.) with the Department of Health from 16 June 2016, replacing the Quarantine Act 1908 (</w:t>
      </w:r>
      <w:proofErr w:type="spellStart"/>
      <w:r w:rsidRPr="00B75B2E">
        <w:rPr>
          <w:rFonts w:ascii="Avenir Book" w:hAnsi="Avenir Book"/>
        </w:rPr>
        <w:t>Cth</w:t>
      </w:r>
      <w:proofErr w:type="spellEnd"/>
      <w:r w:rsidRPr="00B75B2E">
        <w:rPr>
          <w:rFonts w:ascii="Avenir Book" w:hAnsi="Avenir Book"/>
        </w:rPr>
        <w:t>.).</w:t>
      </w:r>
    </w:p>
    <w:p w14:paraId="3185FD92" w14:textId="77777777" w:rsidR="00B75B2E" w:rsidRPr="00B75B2E" w:rsidRDefault="00B75B2E" w:rsidP="00B75B2E">
      <w:pPr>
        <w:rPr>
          <w:rFonts w:ascii="Avenir Book" w:hAnsi="Avenir Book"/>
        </w:rPr>
      </w:pPr>
    </w:p>
    <w:p w14:paraId="5EA82EE3" w14:textId="77777777" w:rsidR="00B75B2E" w:rsidRPr="00B75B2E" w:rsidRDefault="00B75B2E" w:rsidP="00B75B2E">
      <w:pPr>
        <w:rPr>
          <w:rFonts w:ascii="Avenir Book" w:hAnsi="Avenir Book"/>
        </w:rPr>
      </w:pPr>
      <w:r w:rsidRPr="00B75B2E">
        <w:rPr>
          <w:rFonts w:ascii="Avenir Book" w:hAnsi="Avenir Book"/>
        </w:rPr>
        <w:t>In addition, state/territory biosecurity agencies develop policy, standards, delivery systems and services that reduce the threat of invasive plants and animals to agriculture and the natural environment; protect animals and plants from pests and diseases; enhance food safety; ensure minimal and effective chemical use; protect the welfare of animals; and preserve and expand market access for primary industries.</w:t>
      </w:r>
    </w:p>
    <w:p w14:paraId="7116EF53" w14:textId="77777777" w:rsidR="00B75B2E" w:rsidRPr="005D5A42" w:rsidRDefault="00B75B2E" w:rsidP="00B75B2E">
      <w:pPr>
        <w:pStyle w:val="BodyTextSI"/>
      </w:pPr>
    </w:p>
    <w:p w14:paraId="17E849A7" w14:textId="77D84B3C" w:rsidR="00B75B2E" w:rsidRPr="004C421D" w:rsidRDefault="00B75B2E" w:rsidP="00B75B2E">
      <w:pPr>
        <w:pStyle w:val="Heading4SI"/>
      </w:pPr>
      <w:r>
        <w:t>Live animal export legislation</w:t>
      </w:r>
    </w:p>
    <w:p w14:paraId="502881C6" w14:textId="77777777" w:rsidR="00B75B2E" w:rsidRDefault="00B75B2E" w:rsidP="00B75B2E">
      <w:pPr>
        <w:rPr>
          <w:rFonts w:ascii="Avenir Book" w:hAnsi="Avenir Book"/>
        </w:rPr>
      </w:pPr>
      <w:r w:rsidRPr="00B75B2E">
        <w:rPr>
          <w:rFonts w:ascii="Avenir Book" w:hAnsi="Avenir Book"/>
        </w:rPr>
        <w:t>Two bills were enforced in Australia to amend the Australian Meat and Live-stock Industry Act 1997 (</w:t>
      </w:r>
      <w:proofErr w:type="spellStart"/>
      <w:r w:rsidRPr="00B75B2E">
        <w:rPr>
          <w:rFonts w:ascii="Avenir Book" w:hAnsi="Avenir Book"/>
        </w:rPr>
        <w:t>Cth</w:t>
      </w:r>
      <w:proofErr w:type="spellEnd"/>
      <w:r w:rsidRPr="00B75B2E">
        <w:rPr>
          <w:rFonts w:ascii="Avenir Book" w:hAnsi="Avenir Book"/>
        </w:rPr>
        <w:t>.) and Export Control Act 1982 (</w:t>
      </w:r>
      <w:proofErr w:type="spellStart"/>
      <w:r w:rsidRPr="00B75B2E">
        <w:rPr>
          <w:rFonts w:ascii="Avenir Book" w:hAnsi="Avenir Book"/>
        </w:rPr>
        <w:t>Cth</w:t>
      </w:r>
      <w:proofErr w:type="spellEnd"/>
      <w:r w:rsidRPr="00B75B2E">
        <w:rPr>
          <w:rFonts w:ascii="Avenir Book" w:hAnsi="Avenir Book"/>
        </w:rPr>
        <w:t>.) in response to animal welfare concerns in the live-cattle export trade.</w:t>
      </w:r>
    </w:p>
    <w:p w14:paraId="7BD83199" w14:textId="77777777" w:rsidR="00B75B2E" w:rsidRPr="00B75B2E" w:rsidRDefault="00B75B2E" w:rsidP="00B75B2E">
      <w:pPr>
        <w:rPr>
          <w:rFonts w:ascii="Avenir Book" w:hAnsi="Avenir Book"/>
        </w:rPr>
      </w:pPr>
    </w:p>
    <w:p w14:paraId="3D076278" w14:textId="77777777" w:rsidR="00B75B2E" w:rsidRPr="00B75B2E" w:rsidRDefault="00B75B2E" w:rsidP="00B75B2E">
      <w:pPr>
        <w:rPr>
          <w:rFonts w:ascii="Avenir Book" w:hAnsi="Avenir Book"/>
        </w:rPr>
      </w:pPr>
      <w:r w:rsidRPr="00B75B2E">
        <w:rPr>
          <w:rFonts w:ascii="Avenir Book" w:hAnsi="Avenir Book"/>
        </w:rPr>
        <w:t>The Live Animal Export Prohibition (Ending Cruelty) Bill 2014 (</w:t>
      </w:r>
      <w:proofErr w:type="spellStart"/>
      <w:r w:rsidRPr="00B75B2E">
        <w:rPr>
          <w:rFonts w:ascii="Avenir Book" w:hAnsi="Avenir Book"/>
        </w:rPr>
        <w:t>Cth</w:t>
      </w:r>
      <w:proofErr w:type="spellEnd"/>
      <w:r w:rsidRPr="00B75B2E">
        <w:rPr>
          <w:rFonts w:ascii="Avenir Book" w:hAnsi="Avenir Book"/>
        </w:rPr>
        <w:t>.) and the Live Animal Export (Slaughter) Prohibition Bill 2014 (</w:t>
      </w:r>
      <w:proofErr w:type="spellStart"/>
      <w:r w:rsidRPr="00B75B2E">
        <w:rPr>
          <w:rFonts w:ascii="Avenir Book" w:hAnsi="Avenir Book"/>
        </w:rPr>
        <w:t>Cth</w:t>
      </w:r>
      <w:proofErr w:type="spellEnd"/>
      <w:r w:rsidRPr="00B75B2E">
        <w:rPr>
          <w:rFonts w:ascii="Avenir Book" w:hAnsi="Avenir Book"/>
        </w:rPr>
        <w:t>.) were introduced to prohibit the export of livestock for slaughter on or after 1 July 2017, and to compel export licence holders to ensure all livestock are treated satisfactorily prior to slaughter.</w:t>
      </w:r>
    </w:p>
    <w:p w14:paraId="06E74F34" w14:textId="77777777" w:rsidR="00B75B2E" w:rsidRPr="005D5A42" w:rsidRDefault="00B75B2E" w:rsidP="00B75B2E">
      <w:pPr>
        <w:pStyle w:val="BodyTextSI"/>
      </w:pPr>
    </w:p>
    <w:p w14:paraId="72D6254D" w14:textId="3687F88B" w:rsidR="00B75B2E" w:rsidRPr="004C421D" w:rsidRDefault="00B75B2E" w:rsidP="00B75B2E">
      <w:pPr>
        <w:pStyle w:val="Heading4SI"/>
      </w:pPr>
      <w:r>
        <w:t>Conservation legislation</w:t>
      </w:r>
    </w:p>
    <w:p w14:paraId="056DE2FE" w14:textId="77777777" w:rsidR="00B75B2E" w:rsidRPr="00B75B2E" w:rsidRDefault="00B75B2E" w:rsidP="00B75B2E">
      <w:pPr>
        <w:rPr>
          <w:rFonts w:ascii="Avenir Book" w:hAnsi="Avenir Book"/>
        </w:rPr>
      </w:pPr>
      <w:r w:rsidRPr="00B75B2E">
        <w:rPr>
          <w:rFonts w:ascii="Avenir Book" w:hAnsi="Avenir Book"/>
        </w:rPr>
        <w:t>Government-managed nature reserves, including marine reserves, and conservation parks are licensed and regulated by federal, state and territory environment and conservation departments under the Environment Protection and Biodiversity Conservation Act 1999 (</w:t>
      </w:r>
      <w:proofErr w:type="spellStart"/>
      <w:r w:rsidRPr="00B75B2E">
        <w:rPr>
          <w:rFonts w:ascii="Avenir Book" w:hAnsi="Avenir Book"/>
        </w:rPr>
        <w:t>Cth</w:t>
      </w:r>
      <w:proofErr w:type="spellEnd"/>
      <w:r w:rsidRPr="00B75B2E">
        <w:rPr>
          <w:rFonts w:ascii="Avenir Book" w:hAnsi="Avenir Book"/>
        </w:rPr>
        <w:t>.) (EPBC) and the National Parks and Wildlife Act 1975 (</w:t>
      </w:r>
      <w:proofErr w:type="spellStart"/>
      <w:r w:rsidRPr="00B75B2E">
        <w:rPr>
          <w:rFonts w:ascii="Avenir Book" w:hAnsi="Avenir Book"/>
        </w:rPr>
        <w:t>Cth</w:t>
      </w:r>
      <w:proofErr w:type="spellEnd"/>
      <w:r w:rsidRPr="00B75B2E">
        <w:rPr>
          <w:rFonts w:ascii="Avenir Book" w:hAnsi="Avenir Book"/>
        </w:rPr>
        <w:t>.). The EPBC Act contains an extensive regimen for the conservation of biodiversity.</w:t>
      </w:r>
    </w:p>
    <w:p w14:paraId="0EF7A0D8" w14:textId="77777777" w:rsidR="00B75B2E" w:rsidRPr="005D5A42" w:rsidRDefault="00B75B2E" w:rsidP="00B75B2E">
      <w:pPr>
        <w:pStyle w:val="BodyTextSI"/>
      </w:pPr>
    </w:p>
    <w:p w14:paraId="4CE2426E" w14:textId="0046F831" w:rsidR="00B75B2E" w:rsidRPr="004C421D" w:rsidRDefault="00B75B2E" w:rsidP="00B75B2E">
      <w:pPr>
        <w:pStyle w:val="Heading4SI"/>
      </w:pPr>
      <w:r>
        <w:t>Legislation relevant to agricultural chemical use</w:t>
      </w:r>
    </w:p>
    <w:tbl>
      <w:tblPr>
        <w:tblStyle w:val="TableGrid"/>
        <w:tblW w:w="0" w:type="auto"/>
        <w:tblBorders>
          <w:top w:val="single" w:sz="18" w:space="0" w:color="538135" w:themeColor="accent6" w:themeShade="BF"/>
          <w:left w:val="none" w:sz="0" w:space="0" w:color="auto"/>
          <w:bottom w:val="single" w:sz="4" w:space="0" w:color="538135" w:themeColor="accent6" w:themeShade="BF"/>
          <w:right w:val="none" w:sz="0" w:space="0" w:color="auto"/>
          <w:insideH w:val="single" w:sz="4" w:space="0" w:color="538135" w:themeColor="accent6" w:themeShade="BF"/>
          <w:insideV w:val="none" w:sz="0" w:space="0" w:color="auto"/>
        </w:tblBorders>
        <w:tblLook w:val="04A0" w:firstRow="1" w:lastRow="0" w:firstColumn="1" w:lastColumn="0" w:noHBand="0" w:noVBand="1"/>
      </w:tblPr>
      <w:tblGrid>
        <w:gridCol w:w="2122"/>
        <w:gridCol w:w="7280"/>
      </w:tblGrid>
      <w:tr w:rsidR="007160B9" w14:paraId="66809E92" w14:textId="77777777" w:rsidTr="00895E6F">
        <w:trPr>
          <w:trHeight w:val="567"/>
        </w:trPr>
        <w:tc>
          <w:tcPr>
            <w:tcW w:w="2122" w:type="dxa"/>
            <w:tcBorders>
              <w:top w:val="single" w:sz="18" w:space="0" w:color="538135" w:themeColor="accent6" w:themeShade="BF"/>
              <w:bottom w:val="single" w:sz="18" w:space="0" w:color="538135" w:themeColor="accent6" w:themeShade="BF"/>
            </w:tcBorders>
          </w:tcPr>
          <w:p w14:paraId="295383D3" w14:textId="1348A63F" w:rsidR="007160B9" w:rsidRPr="00895E6F" w:rsidRDefault="007160B9" w:rsidP="007160B9">
            <w:pPr>
              <w:rPr>
                <w:rFonts w:ascii="Avenir Book" w:hAnsi="Avenir Book"/>
                <w:b/>
                <w:bCs/>
                <w:color w:val="538135" w:themeColor="accent6" w:themeShade="BF"/>
                <w:sz w:val="28"/>
                <w:szCs w:val="28"/>
              </w:rPr>
            </w:pPr>
            <w:r w:rsidRPr="00895E6F">
              <w:rPr>
                <w:rFonts w:ascii="Avenir Book" w:hAnsi="Avenir Book"/>
                <w:b/>
                <w:bCs/>
                <w:color w:val="538135" w:themeColor="accent6" w:themeShade="BF"/>
                <w:sz w:val="28"/>
                <w:szCs w:val="28"/>
              </w:rPr>
              <w:t>Context</w:t>
            </w:r>
          </w:p>
        </w:tc>
        <w:tc>
          <w:tcPr>
            <w:tcW w:w="7280" w:type="dxa"/>
            <w:tcBorders>
              <w:top w:val="single" w:sz="18" w:space="0" w:color="538135" w:themeColor="accent6" w:themeShade="BF"/>
              <w:bottom w:val="single" w:sz="18" w:space="0" w:color="538135" w:themeColor="accent6" w:themeShade="BF"/>
            </w:tcBorders>
          </w:tcPr>
          <w:p w14:paraId="03F4EEFA" w14:textId="265E2D3C" w:rsidR="007160B9" w:rsidRPr="00895E6F" w:rsidRDefault="007160B9" w:rsidP="007160B9">
            <w:pPr>
              <w:rPr>
                <w:rFonts w:ascii="Avenir Book" w:hAnsi="Avenir Book"/>
                <w:b/>
                <w:bCs/>
                <w:color w:val="538135" w:themeColor="accent6" w:themeShade="BF"/>
                <w:sz w:val="28"/>
                <w:szCs w:val="28"/>
              </w:rPr>
            </w:pPr>
            <w:r w:rsidRPr="00895E6F">
              <w:rPr>
                <w:rFonts w:ascii="Avenir Book" w:hAnsi="Avenir Book"/>
                <w:b/>
                <w:bCs/>
                <w:color w:val="538135" w:themeColor="accent6" w:themeShade="BF"/>
                <w:sz w:val="28"/>
                <w:szCs w:val="28"/>
              </w:rPr>
              <w:t>Legislation</w:t>
            </w:r>
          </w:p>
        </w:tc>
      </w:tr>
      <w:tr w:rsidR="00B75B2E" w14:paraId="36B48892" w14:textId="77777777" w:rsidTr="00895E6F">
        <w:trPr>
          <w:trHeight w:val="567"/>
        </w:trPr>
        <w:tc>
          <w:tcPr>
            <w:tcW w:w="2122" w:type="dxa"/>
            <w:tcBorders>
              <w:top w:val="single" w:sz="18" w:space="0" w:color="538135" w:themeColor="accent6" w:themeShade="BF"/>
            </w:tcBorders>
          </w:tcPr>
          <w:p w14:paraId="6F503841" w14:textId="4C5C89D4" w:rsidR="00B75B2E" w:rsidRDefault="007160B9">
            <w:pPr>
              <w:rPr>
                <w:rFonts w:ascii="Avenir Book" w:hAnsi="Avenir Book"/>
              </w:rPr>
            </w:pPr>
            <w:r>
              <w:rPr>
                <w:rFonts w:ascii="Avenir Book" w:hAnsi="Avenir Book"/>
              </w:rPr>
              <w:t>Commonwealth Government</w:t>
            </w:r>
          </w:p>
        </w:tc>
        <w:tc>
          <w:tcPr>
            <w:tcW w:w="7280" w:type="dxa"/>
            <w:tcBorders>
              <w:top w:val="single" w:sz="18" w:space="0" w:color="538135" w:themeColor="accent6" w:themeShade="BF"/>
            </w:tcBorders>
          </w:tcPr>
          <w:p w14:paraId="738B010F" w14:textId="71A75AD7" w:rsidR="00B75B2E" w:rsidRDefault="007160B9">
            <w:pPr>
              <w:rPr>
                <w:rFonts w:ascii="Avenir Book" w:hAnsi="Avenir Book"/>
              </w:rPr>
            </w:pPr>
            <w:r w:rsidRPr="007160B9">
              <w:rPr>
                <w:rFonts w:ascii="Avenir Book" w:hAnsi="Avenir Book"/>
              </w:rPr>
              <w:t>Agricultural and Veterinary Chemicals Code Act 1994</w:t>
            </w:r>
          </w:p>
        </w:tc>
      </w:tr>
      <w:tr w:rsidR="00B75B2E" w14:paraId="6E1E3669" w14:textId="77777777" w:rsidTr="00895E6F">
        <w:trPr>
          <w:trHeight w:val="567"/>
        </w:trPr>
        <w:tc>
          <w:tcPr>
            <w:tcW w:w="2122" w:type="dxa"/>
          </w:tcPr>
          <w:p w14:paraId="46E82713" w14:textId="036D8FF7" w:rsidR="00B75B2E" w:rsidRDefault="007160B9">
            <w:pPr>
              <w:rPr>
                <w:rFonts w:ascii="Avenir Book" w:hAnsi="Avenir Book"/>
              </w:rPr>
            </w:pPr>
            <w:r>
              <w:rPr>
                <w:rFonts w:ascii="Avenir Book" w:hAnsi="Avenir Book"/>
              </w:rPr>
              <w:t>Australian Capital Territory</w:t>
            </w:r>
          </w:p>
        </w:tc>
        <w:tc>
          <w:tcPr>
            <w:tcW w:w="7280" w:type="dxa"/>
          </w:tcPr>
          <w:p w14:paraId="532FDC2B" w14:textId="212C40C6" w:rsidR="00B75B2E" w:rsidRDefault="007160B9">
            <w:pPr>
              <w:rPr>
                <w:rFonts w:ascii="Avenir Book" w:hAnsi="Avenir Book"/>
              </w:rPr>
            </w:pPr>
            <w:r w:rsidRPr="007160B9">
              <w:rPr>
                <w:rFonts w:ascii="Avenir Book" w:hAnsi="Avenir Book"/>
              </w:rPr>
              <w:t>Environment Protection Act 1997</w:t>
            </w:r>
          </w:p>
        </w:tc>
      </w:tr>
      <w:tr w:rsidR="00B75B2E" w14:paraId="282E1E11" w14:textId="77777777" w:rsidTr="00895E6F">
        <w:trPr>
          <w:trHeight w:val="567"/>
        </w:trPr>
        <w:tc>
          <w:tcPr>
            <w:tcW w:w="2122" w:type="dxa"/>
          </w:tcPr>
          <w:p w14:paraId="181A3D5A" w14:textId="5CDF6E06" w:rsidR="00B75B2E" w:rsidRDefault="007160B9">
            <w:pPr>
              <w:rPr>
                <w:rFonts w:ascii="Avenir Book" w:hAnsi="Avenir Book"/>
              </w:rPr>
            </w:pPr>
            <w:r>
              <w:rPr>
                <w:rFonts w:ascii="Avenir Book" w:hAnsi="Avenir Book"/>
              </w:rPr>
              <w:t>New South Wales</w:t>
            </w:r>
          </w:p>
        </w:tc>
        <w:tc>
          <w:tcPr>
            <w:tcW w:w="7280" w:type="dxa"/>
          </w:tcPr>
          <w:p w14:paraId="41B06C0E" w14:textId="47E84C28" w:rsidR="00B75B2E" w:rsidRDefault="007160B9">
            <w:pPr>
              <w:rPr>
                <w:rFonts w:ascii="Avenir Book" w:hAnsi="Avenir Book"/>
              </w:rPr>
            </w:pPr>
            <w:r w:rsidRPr="007160B9">
              <w:rPr>
                <w:rFonts w:ascii="Avenir Book" w:hAnsi="Avenir Book"/>
              </w:rPr>
              <w:t>Environmentally Hazardous Chemicals Act 1985</w:t>
            </w:r>
          </w:p>
        </w:tc>
      </w:tr>
      <w:tr w:rsidR="007160B9" w14:paraId="527529EC" w14:textId="77777777" w:rsidTr="00895E6F">
        <w:trPr>
          <w:trHeight w:val="567"/>
        </w:trPr>
        <w:tc>
          <w:tcPr>
            <w:tcW w:w="2122" w:type="dxa"/>
          </w:tcPr>
          <w:p w14:paraId="10A1A00B" w14:textId="75819510" w:rsidR="007160B9" w:rsidRDefault="007160B9">
            <w:pPr>
              <w:rPr>
                <w:rFonts w:ascii="Avenir Book" w:hAnsi="Avenir Book"/>
              </w:rPr>
            </w:pPr>
            <w:r>
              <w:rPr>
                <w:rFonts w:ascii="Avenir Book" w:hAnsi="Avenir Book"/>
              </w:rPr>
              <w:lastRenderedPageBreak/>
              <w:t>Northern Territory</w:t>
            </w:r>
          </w:p>
        </w:tc>
        <w:tc>
          <w:tcPr>
            <w:tcW w:w="7280" w:type="dxa"/>
          </w:tcPr>
          <w:p w14:paraId="238578BA" w14:textId="47C55647" w:rsidR="007160B9" w:rsidRDefault="007160B9">
            <w:pPr>
              <w:rPr>
                <w:rFonts w:ascii="Avenir Book" w:hAnsi="Avenir Book"/>
              </w:rPr>
            </w:pPr>
            <w:r w:rsidRPr="007160B9">
              <w:rPr>
                <w:rFonts w:ascii="Avenir Book" w:hAnsi="Avenir Book"/>
              </w:rPr>
              <w:t>Agricultural and Veterinary Chemicals (Control of Use) Act</w:t>
            </w:r>
          </w:p>
        </w:tc>
      </w:tr>
      <w:tr w:rsidR="007160B9" w14:paraId="2B0B3598" w14:textId="77777777" w:rsidTr="00895E6F">
        <w:trPr>
          <w:trHeight w:val="567"/>
        </w:trPr>
        <w:tc>
          <w:tcPr>
            <w:tcW w:w="2122" w:type="dxa"/>
          </w:tcPr>
          <w:p w14:paraId="3DAB71B3" w14:textId="363F0416" w:rsidR="007160B9" w:rsidRDefault="007160B9">
            <w:pPr>
              <w:rPr>
                <w:rFonts w:ascii="Avenir Book" w:hAnsi="Avenir Book"/>
              </w:rPr>
            </w:pPr>
            <w:r>
              <w:rPr>
                <w:rFonts w:ascii="Avenir Book" w:hAnsi="Avenir Book"/>
              </w:rPr>
              <w:t>Queensland</w:t>
            </w:r>
          </w:p>
        </w:tc>
        <w:tc>
          <w:tcPr>
            <w:tcW w:w="7280" w:type="dxa"/>
          </w:tcPr>
          <w:p w14:paraId="7535C674" w14:textId="28E24FA0" w:rsidR="007160B9" w:rsidRDefault="007160B9">
            <w:pPr>
              <w:rPr>
                <w:rFonts w:ascii="Avenir Book" w:hAnsi="Avenir Book"/>
              </w:rPr>
            </w:pPr>
            <w:r w:rsidRPr="007160B9">
              <w:rPr>
                <w:rFonts w:ascii="Avenir Book" w:hAnsi="Avenir Book"/>
              </w:rPr>
              <w:t>Chemical Usage (Agricultural and Veterinary) Control Act 1988</w:t>
            </w:r>
          </w:p>
        </w:tc>
      </w:tr>
      <w:tr w:rsidR="007160B9" w14:paraId="62F2375E" w14:textId="77777777" w:rsidTr="00895E6F">
        <w:trPr>
          <w:trHeight w:val="567"/>
        </w:trPr>
        <w:tc>
          <w:tcPr>
            <w:tcW w:w="2122" w:type="dxa"/>
          </w:tcPr>
          <w:p w14:paraId="0F60028B" w14:textId="39FF74F0" w:rsidR="007160B9" w:rsidRDefault="007160B9">
            <w:pPr>
              <w:rPr>
                <w:rFonts w:ascii="Avenir Book" w:hAnsi="Avenir Book"/>
              </w:rPr>
            </w:pPr>
            <w:r>
              <w:rPr>
                <w:rFonts w:ascii="Avenir Book" w:hAnsi="Avenir Book"/>
              </w:rPr>
              <w:t>South Australia</w:t>
            </w:r>
          </w:p>
        </w:tc>
        <w:tc>
          <w:tcPr>
            <w:tcW w:w="7280" w:type="dxa"/>
          </w:tcPr>
          <w:p w14:paraId="714E4677" w14:textId="3C35B405" w:rsidR="007160B9" w:rsidRDefault="007160B9">
            <w:pPr>
              <w:rPr>
                <w:rFonts w:ascii="Avenir Book" w:hAnsi="Avenir Book"/>
              </w:rPr>
            </w:pPr>
            <w:r w:rsidRPr="007160B9">
              <w:rPr>
                <w:rFonts w:ascii="Avenir Book" w:hAnsi="Avenir Book"/>
              </w:rPr>
              <w:t>Agricultural and Veterinary Chemicals (South Australia) Act 1994</w:t>
            </w:r>
          </w:p>
        </w:tc>
      </w:tr>
      <w:tr w:rsidR="007160B9" w14:paraId="5D95D5F2" w14:textId="77777777" w:rsidTr="00895E6F">
        <w:trPr>
          <w:trHeight w:val="567"/>
        </w:trPr>
        <w:tc>
          <w:tcPr>
            <w:tcW w:w="2122" w:type="dxa"/>
          </w:tcPr>
          <w:p w14:paraId="714520A3" w14:textId="0CC4BAC2" w:rsidR="007160B9" w:rsidRDefault="007160B9">
            <w:pPr>
              <w:rPr>
                <w:rFonts w:ascii="Avenir Book" w:hAnsi="Avenir Book"/>
              </w:rPr>
            </w:pPr>
            <w:r>
              <w:rPr>
                <w:rFonts w:ascii="Avenir Book" w:hAnsi="Avenir Book"/>
              </w:rPr>
              <w:t>Tasmania</w:t>
            </w:r>
          </w:p>
        </w:tc>
        <w:tc>
          <w:tcPr>
            <w:tcW w:w="7280" w:type="dxa"/>
          </w:tcPr>
          <w:p w14:paraId="04020C13" w14:textId="052BD1EE" w:rsidR="007160B9" w:rsidRDefault="007160B9">
            <w:pPr>
              <w:rPr>
                <w:rFonts w:ascii="Avenir Book" w:hAnsi="Avenir Book"/>
              </w:rPr>
            </w:pPr>
            <w:r w:rsidRPr="007160B9">
              <w:rPr>
                <w:rFonts w:ascii="Avenir Book" w:hAnsi="Avenir Book"/>
              </w:rPr>
              <w:t>Agricultural and Veterinary Chemicals Code Act 1994</w:t>
            </w:r>
          </w:p>
        </w:tc>
      </w:tr>
      <w:tr w:rsidR="00B75B2E" w14:paraId="1701D09C" w14:textId="77777777" w:rsidTr="00895E6F">
        <w:trPr>
          <w:trHeight w:val="567"/>
        </w:trPr>
        <w:tc>
          <w:tcPr>
            <w:tcW w:w="2122" w:type="dxa"/>
          </w:tcPr>
          <w:p w14:paraId="0C4448DF" w14:textId="74C54A5A" w:rsidR="00B75B2E" w:rsidRDefault="007160B9">
            <w:pPr>
              <w:rPr>
                <w:rFonts w:ascii="Avenir Book" w:hAnsi="Avenir Book"/>
              </w:rPr>
            </w:pPr>
            <w:r>
              <w:rPr>
                <w:rFonts w:ascii="Avenir Book" w:hAnsi="Avenir Book"/>
              </w:rPr>
              <w:t>Victoria</w:t>
            </w:r>
          </w:p>
        </w:tc>
        <w:tc>
          <w:tcPr>
            <w:tcW w:w="7280" w:type="dxa"/>
          </w:tcPr>
          <w:p w14:paraId="32AC4C8F" w14:textId="5A839B65" w:rsidR="00B75B2E" w:rsidRDefault="007160B9">
            <w:pPr>
              <w:rPr>
                <w:rFonts w:ascii="Avenir Book" w:hAnsi="Avenir Book"/>
              </w:rPr>
            </w:pPr>
            <w:r w:rsidRPr="007160B9">
              <w:rPr>
                <w:rFonts w:ascii="Avenir Book" w:hAnsi="Avenir Book"/>
              </w:rPr>
              <w:t>Agricultural and Veterinary Chemicals (Control of Use) Act 1992 Agricultural and Veterinary Chemicals (Control of Use) Regulations 2017 Agricultural and Veterinary Chemicals (Control of Use) (Fertilisers) Regulations 2013</w:t>
            </w:r>
          </w:p>
        </w:tc>
      </w:tr>
      <w:tr w:rsidR="00B75B2E" w14:paraId="2E5A4AA3" w14:textId="77777777" w:rsidTr="00895E6F">
        <w:trPr>
          <w:trHeight w:val="567"/>
        </w:trPr>
        <w:tc>
          <w:tcPr>
            <w:tcW w:w="2122" w:type="dxa"/>
          </w:tcPr>
          <w:p w14:paraId="3BACAF2A" w14:textId="106853D3" w:rsidR="00B75B2E" w:rsidRDefault="007160B9">
            <w:pPr>
              <w:rPr>
                <w:rFonts w:ascii="Avenir Book" w:hAnsi="Avenir Book"/>
              </w:rPr>
            </w:pPr>
            <w:r>
              <w:rPr>
                <w:rFonts w:ascii="Avenir Book" w:hAnsi="Avenir Book"/>
              </w:rPr>
              <w:t>Western Australia</w:t>
            </w:r>
          </w:p>
        </w:tc>
        <w:tc>
          <w:tcPr>
            <w:tcW w:w="7280" w:type="dxa"/>
          </w:tcPr>
          <w:p w14:paraId="6AC8A477" w14:textId="307110ED" w:rsidR="00B75B2E" w:rsidRDefault="007160B9">
            <w:pPr>
              <w:rPr>
                <w:rFonts w:ascii="Avenir Book" w:hAnsi="Avenir Book"/>
              </w:rPr>
            </w:pPr>
            <w:r w:rsidRPr="007160B9">
              <w:rPr>
                <w:rFonts w:ascii="Avenir Book" w:hAnsi="Avenir Book"/>
              </w:rPr>
              <w:t>Agricultural and Veterinary Chemicals (WA) Act 1995</w:t>
            </w:r>
          </w:p>
        </w:tc>
      </w:tr>
    </w:tbl>
    <w:p w14:paraId="3A9B45A0" w14:textId="77777777" w:rsidR="007160B9" w:rsidRPr="005D5A42" w:rsidRDefault="007160B9" w:rsidP="007160B9">
      <w:pPr>
        <w:pStyle w:val="BodyTextSI"/>
      </w:pPr>
    </w:p>
    <w:p w14:paraId="71CAE1ED" w14:textId="5570404E" w:rsidR="007160B9" w:rsidRPr="004C421D" w:rsidRDefault="007160B9" w:rsidP="007160B9">
      <w:pPr>
        <w:pStyle w:val="Heading4SI"/>
      </w:pPr>
      <w:r>
        <w:t>Legislation for pest animals and weeds</w:t>
      </w:r>
    </w:p>
    <w:tbl>
      <w:tblPr>
        <w:tblStyle w:val="TableGrid"/>
        <w:tblW w:w="0" w:type="auto"/>
        <w:tblBorders>
          <w:top w:val="single" w:sz="18" w:space="0" w:color="538135" w:themeColor="accent6" w:themeShade="BF"/>
          <w:left w:val="none" w:sz="0" w:space="0" w:color="auto"/>
          <w:bottom w:val="single" w:sz="4" w:space="0" w:color="538135" w:themeColor="accent6" w:themeShade="BF"/>
          <w:right w:val="none" w:sz="0" w:space="0" w:color="auto"/>
          <w:insideH w:val="single" w:sz="4" w:space="0" w:color="538135" w:themeColor="accent6" w:themeShade="BF"/>
          <w:insideV w:val="none" w:sz="0" w:space="0" w:color="auto"/>
        </w:tblBorders>
        <w:tblLook w:val="04A0" w:firstRow="1" w:lastRow="0" w:firstColumn="1" w:lastColumn="0" w:noHBand="0" w:noVBand="1"/>
      </w:tblPr>
      <w:tblGrid>
        <w:gridCol w:w="2122"/>
        <w:gridCol w:w="7280"/>
      </w:tblGrid>
      <w:tr w:rsidR="007160B9" w14:paraId="4F2A3128" w14:textId="77777777" w:rsidTr="00895E6F">
        <w:trPr>
          <w:trHeight w:val="567"/>
        </w:trPr>
        <w:tc>
          <w:tcPr>
            <w:tcW w:w="2122" w:type="dxa"/>
            <w:tcBorders>
              <w:top w:val="single" w:sz="18" w:space="0" w:color="538135" w:themeColor="accent6" w:themeShade="BF"/>
              <w:bottom w:val="single" w:sz="18" w:space="0" w:color="538135" w:themeColor="accent6" w:themeShade="BF"/>
            </w:tcBorders>
          </w:tcPr>
          <w:p w14:paraId="0F4A3EAE" w14:textId="77777777" w:rsidR="007160B9" w:rsidRPr="00CD1F2E" w:rsidRDefault="007160B9" w:rsidP="00CD1F2E">
            <w:pPr>
              <w:rPr>
                <w:rFonts w:ascii="Avenir Book" w:hAnsi="Avenir Book"/>
                <w:b/>
                <w:bCs/>
                <w:color w:val="538135" w:themeColor="accent6" w:themeShade="BF"/>
                <w:sz w:val="28"/>
                <w:szCs w:val="28"/>
              </w:rPr>
            </w:pPr>
            <w:r w:rsidRPr="00CD1F2E">
              <w:rPr>
                <w:rFonts w:ascii="Avenir Book" w:hAnsi="Avenir Book"/>
                <w:b/>
                <w:bCs/>
                <w:color w:val="538135" w:themeColor="accent6" w:themeShade="BF"/>
                <w:sz w:val="28"/>
                <w:szCs w:val="28"/>
              </w:rPr>
              <w:t>Context</w:t>
            </w:r>
          </w:p>
        </w:tc>
        <w:tc>
          <w:tcPr>
            <w:tcW w:w="7280" w:type="dxa"/>
            <w:tcBorders>
              <w:top w:val="single" w:sz="18" w:space="0" w:color="538135" w:themeColor="accent6" w:themeShade="BF"/>
              <w:bottom w:val="single" w:sz="18" w:space="0" w:color="538135" w:themeColor="accent6" w:themeShade="BF"/>
            </w:tcBorders>
          </w:tcPr>
          <w:p w14:paraId="2E535D2C" w14:textId="77777777" w:rsidR="007160B9" w:rsidRPr="00CD1F2E" w:rsidRDefault="007160B9" w:rsidP="00CD1F2E">
            <w:pPr>
              <w:rPr>
                <w:rFonts w:ascii="Avenir Book" w:hAnsi="Avenir Book"/>
                <w:b/>
                <w:bCs/>
                <w:color w:val="538135" w:themeColor="accent6" w:themeShade="BF"/>
                <w:sz w:val="28"/>
                <w:szCs w:val="28"/>
              </w:rPr>
            </w:pPr>
            <w:r w:rsidRPr="00CD1F2E">
              <w:rPr>
                <w:rFonts w:ascii="Avenir Book" w:hAnsi="Avenir Book"/>
                <w:b/>
                <w:bCs/>
                <w:color w:val="538135" w:themeColor="accent6" w:themeShade="BF"/>
                <w:sz w:val="28"/>
                <w:szCs w:val="28"/>
              </w:rPr>
              <w:t>Legislation</w:t>
            </w:r>
          </w:p>
        </w:tc>
      </w:tr>
      <w:tr w:rsidR="007160B9" w14:paraId="1669CF91" w14:textId="77777777" w:rsidTr="00895E6F">
        <w:trPr>
          <w:trHeight w:val="567"/>
        </w:trPr>
        <w:tc>
          <w:tcPr>
            <w:tcW w:w="2122" w:type="dxa"/>
            <w:tcBorders>
              <w:top w:val="single" w:sz="18" w:space="0" w:color="538135" w:themeColor="accent6" w:themeShade="BF"/>
            </w:tcBorders>
          </w:tcPr>
          <w:p w14:paraId="20ACB302" w14:textId="778F8A87" w:rsidR="007160B9" w:rsidRDefault="007160B9" w:rsidP="007160B9">
            <w:pPr>
              <w:rPr>
                <w:rFonts w:ascii="Avenir Book" w:hAnsi="Avenir Book"/>
              </w:rPr>
            </w:pPr>
            <w:r>
              <w:rPr>
                <w:rFonts w:ascii="Avenir Book" w:hAnsi="Avenir Book"/>
              </w:rPr>
              <w:t>Commonwealth Government</w:t>
            </w:r>
          </w:p>
        </w:tc>
        <w:tc>
          <w:tcPr>
            <w:tcW w:w="7280" w:type="dxa"/>
            <w:tcBorders>
              <w:top w:val="single" w:sz="18" w:space="0" w:color="538135" w:themeColor="accent6" w:themeShade="BF"/>
            </w:tcBorders>
          </w:tcPr>
          <w:p w14:paraId="1C50CA16" w14:textId="77777777" w:rsidR="007160B9" w:rsidRDefault="007160B9" w:rsidP="007160B9">
            <w:pPr>
              <w:rPr>
                <w:rFonts w:ascii="Avenir Book" w:hAnsi="Avenir Book"/>
              </w:rPr>
            </w:pPr>
            <w:r w:rsidRPr="007160B9">
              <w:rPr>
                <w:rFonts w:ascii="Avenir Book" w:hAnsi="Avenir Book"/>
              </w:rPr>
              <w:t>Agricultural and Veterinary Chemicals Code Act 1994</w:t>
            </w:r>
          </w:p>
          <w:p w14:paraId="482A0F85" w14:textId="77777777" w:rsidR="007160B9" w:rsidRDefault="007160B9" w:rsidP="007160B9">
            <w:pPr>
              <w:rPr>
                <w:rFonts w:ascii="Avenir Book" w:hAnsi="Avenir Book"/>
              </w:rPr>
            </w:pPr>
            <w:r w:rsidRPr="007160B9">
              <w:rPr>
                <w:rFonts w:ascii="Avenir Book" w:hAnsi="Avenir Book"/>
              </w:rPr>
              <w:t>Biological Control Act 1984</w:t>
            </w:r>
          </w:p>
          <w:p w14:paraId="125323C7" w14:textId="77777777" w:rsidR="007160B9" w:rsidRDefault="007160B9" w:rsidP="007160B9">
            <w:pPr>
              <w:rPr>
                <w:rFonts w:ascii="Avenir Book" w:hAnsi="Avenir Book"/>
              </w:rPr>
            </w:pPr>
            <w:r w:rsidRPr="007160B9">
              <w:rPr>
                <w:rFonts w:ascii="Avenir Book" w:hAnsi="Avenir Book"/>
              </w:rPr>
              <w:t>Environment Quarantine Act 1908</w:t>
            </w:r>
          </w:p>
          <w:p w14:paraId="1C5C27A6" w14:textId="2FC421D8" w:rsidR="007160B9" w:rsidRDefault="007160B9" w:rsidP="007160B9">
            <w:pPr>
              <w:rPr>
                <w:rFonts w:ascii="Avenir Book" w:hAnsi="Avenir Book"/>
              </w:rPr>
            </w:pPr>
            <w:r w:rsidRPr="007160B9">
              <w:rPr>
                <w:rFonts w:ascii="Avenir Book" w:hAnsi="Avenir Book"/>
              </w:rPr>
              <w:t>Environmental Protection and Biodiversity Conservation Act 1999</w:t>
            </w:r>
          </w:p>
        </w:tc>
      </w:tr>
      <w:tr w:rsidR="007160B9" w14:paraId="64E86300" w14:textId="77777777" w:rsidTr="00895E6F">
        <w:trPr>
          <w:trHeight w:val="567"/>
        </w:trPr>
        <w:tc>
          <w:tcPr>
            <w:tcW w:w="2122" w:type="dxa"/>
          </w:tcPr>
          <w:p w14:paraId="744CB35B" w14:textId="58C24F75" w:rsidR="007160B9" w:rsidRDefault="007160B9" w:rsidP="007160B9">
            <w:pPr>
              <w:rPr>
                <w:rFonts w:ascii="Avenir Book" w:hAnsi="Avenir Book"/>
              </w:rPr>
            </w:pPr>
            <w:r>
              <w:rPr>
                <w:rFonts w:ascii="Avenir Book" w:hAnsi="Avenir Book"/>
              </w:rPr>
              <w:t>Australian Capital Territory</w:t>
            </w:r>
          </w:p>
        </w:tc>
        <w:tc>
          <w:tcPr>
            <w:tcW w:w="7280" w:type="dxa"/>
          </w:tcPr>
          <w:p w14:paraId="5E990594" w14:textId="77777777" w:rsidR="007160B9" w:rsidRDefault="007160B9" w:rsidP="007160B9">
            <w:pPr>
              <w:rPr>
                <w:rFonts w:ascii="Avenir Book" w:hAnsi="Avenir Book"/>
              </w:rPr>
            </w:pPr>
            <w:r w:rsidRPr="007160B9">
              <w:rPr>
                <w:rFonts w:ascii="Avenir Book" w:hAnsi="Avenir Book"/>
              </w:rPr>
              <w:t>Pesticides Act 1989 under the Agricultural and Veterinary Chemicals (Administration) Act 1992 and Agricultural and Veterinary Chemicals (Code) Act 1994</w:t>
            </w:r>
          </w:p>
          <w:p w14:paraId="505A2C13" w14:textId="77777777" w:rsidR="007160B9" w:rsidRDefault="007160B9" w:rsidP="007160B9">
            <w:pPr>
              <w:rPr>
                <w:rFonts w:ascii="Avenir Book" w:hAnsi="Avenir Book"/>
              </w:rPr>
            </w:pPr>
            <w:r w:rsidRPr="007160B9">
              <w:rPr>
                <w:rFonts w:ascii="Avenir Book" w:hAnsi="Avenir Book"/>
              </w:rPr>
              <w:t>Pest Plants and Animals Act 2005</w:t>
            </w:r>
          </w:p>
          <w:p w14:paraId="4F0D153E" w14:textId="77777777" w:rsidR="007160B9" w:rsidRDefault="007160B9" w:rsidP="007160B9">
            <w:pPr>
              <w:rPr>
                <w:rFonts w:ascii="Avenir Book" w:hAnsi="Avenir Book"/>
              </w:rPr>
            </w:pPr>
            <w:r w:rsidRPr="007160B9">
              <w:rPr>
                <w:rFonts w:ascii="Avenir Book" w:hAnsi="Avenir Book"/>
              </w:rPr>
              <w:t>Nature Conservation Act 2014</w:t>
            </w:r>
          </w:p>
          <w:p w14:paraId="29037D71" w14:textId="77777777" w:rsidR="007160B9" w:rsidRDefault="007160B9" w:rsidP="007160B9">
            <w:pPr>
              <w:rPr>
                <w:rFonts w:ascii="Avenir Book" w:hAnsi="Avenir Book"/>
              </w:rPr>
            </w:pPr>
            <w:r w:rsidRPr="007160B9">
              <w:rPr>
                <w:rFonts w:ascii="Avenir Book" w:hAnsi="Avenir Book"/>
              </w:rPr>
              <w:t>Animal Welfare Act 1992</w:t>
            </w:r>
          </w:p>
          <w:p w14:paraId="3EB89128" w14:textId="77777777" w:rsidR="007160B9" w:rsidRDefault="007160B9" w:rsidP="007160B9">
            <w:pPr>
              <w:rPr>
                <w:rFonts w:ascii="Avenir Book" w:hAnsi="Avenir Book"/>
              </w:rPr>
            </w:pPr>
            <w:r w:rsidRPr="007160B9">
              <w:rPr>
                <w:rFonts w:ascii="Avenir Book" w:hAnsi="Avenir Book"/>
              </w:rPr>
              <w:t>Prohibited Weapons Act 1996</w:t>
            </w:r>
          </w:p>
          <w:p w14:paraId="33AB5A68" w14:textId="77777777" w:rsidR="007160B9" w:rsidRDefault="007160B9" w:rsidP="007160B9">
            <w:pPr>
              <w:rPr>
                <w:rFonts w:ascii="Avenir Book" w:hAnsi="Avenir Book"/>
              </w:rPr>
            </w:pPr>
            <w:r w:rsidRPr="007160B9">
              <w:rPr>
                <w:rFonts w:ascii="Avenir Book" w:hAnsi="Avenir Book"/>
              </w:rPr>
              <w:t>Firearms Act 1996</w:t>
            </w:r>
          </w:p>
          <w:p w14:paraId="3D89A76A" w14:textId="267D657E" w:rsidR="007160B9" w:rsidRDefault="007160B9" w:rsidP="007160B9">
            <w:pPr>
              <w:rPr>
                <w:rFonts w:ascii="Avenir Book" w:hAnsi="Avenir Book"/>
              </w:rPr>
            </w:pPr>
            <w:r w:rsidRPr="007160B9">
              <w:rPr>
                <w:rFonts w:ascii="Avenir Book" w:hAnsi="Avenir Book"/>
              </w:rPr>
              <w:t>Environment Protection Act 1997</w:t>
            </w:r>
          </w:p>
        </w:tc>
      </w:tr>
      <w:tr w:rsidR="007160B9" w14:paraId="7A859C93" w14:textId="77777777" w:rsidTr="00895E6F">
        <w:trPr>
          <w:trHeight w:val="567"/>
        </w:trPr>
        <w:tc>
          <w:tcPr>
            <w:tcW w:w="2122" w:type="dxa"/>
          </w:tcPr>
          <w:p w14:paraId="422ADA81" w14:textId="316F236E" w:rsidR="007160B9" w:rsidRDefault="007160B9" w:rsidP="007160B9">
            <w:pPr>
              <w:rPr>
                <w:rFonts w:ascii="Avenir Book" w:hAnsi="Avenir Book"/>
              </w:rPr>
            </w:pPr>
            <w:r>
              <w:rPr>
                <w:rFonts w:ascii="Avenir Book" w:hAnsi="Avenir Book"/>
              </w:rPr>
              <w:t>New South Wales</w:t>
            </w:r>
          </w:p>
        </w:tc>
        <w:tc>
          <w:tcPr>
            <w:tcW w:w="7280" w:type="dxa"/>
          </w:tcPr>
          <w:p w14:paraId="4A52C3CF" w14:textId="77777777" w:rsidR="007160B9" w:rsidRDefault="007160B9" w:rsidP="007160B9">
            <w:pPr>
              <w:rPr>
                <w:rFonts w:ascii="Avenir Book" w:hAnsi="Avenir Book"/>
              </w:rPr>
            </w:pPr>
            <w:r w:rsidRPr="007160B9">
              <w:rPr>
                <w:rFonts w:ascii="Avenir Book" w:hAnsi="Avenir Book"/>
              </w:rPr>
              <w:t>Biosecurity Act 2015</w:t>
            </w:r>
          </w:p>
          <w:p w14:paraId="2C311D18" w14:textId="77777777" w:rsidR="007160B9" w:rsidRDefault="007160B9" w:rsidP="007160B9">
            <w:pPr>
              <w:rPr>
                <w:rFonts w:ascii="Avenir Book" w:hAnsi="Avenir Book"/>
              </w:rPr>
            </w:pPr>
            <w:r w:rsidRPr="007160B9">
              <w:rPr>
                <w:rFonts w:ascii="Avenir Book" w:hAnsi="Avenir Book"/>
              </w:rPr>
              <w:t>Game and Feral Animal Control Act 2002</w:t>
            </w:r>
          </w:p>
          <w:p w14:paraId="0D611BBF" w14:textId="77777777" w:rsidR="007160B9" w:rsidRDefault="007160B9" w:rsidP="007160B9">
            <w:pPr>
              <w:rPr>
                <w:rFonts w:ascii="Avenir Book" w:hAnsi="Avenir Book"/>
              </w:rPr>
            </w:pPr>
            <w:r w:rsidRPr="007160B9">
              <w:rPr>
                <w:rFonts w:ascii="Avenir Book" w:hAnsi="Avenir Book"/>
              </w:rPr>
              <w:t>Local Land Services Act 2013</w:t>
            </w:r>
          </w:p>
          <w:p w14:paraId="42C4A6ED" w14:textId="77777777" w:rsidR="007160B9" w:rsidRDefault="007160B9" w:rsidP="007160B9">
            <w:pPr>
              <w:rPr>
                <w:rFonts w:ascii="Avenir Book" w:hAnsi="Avenir Book"/>
              </w:rPr>
            </w:pPr>
            <w:r w:rsidRPr="007160B9">
              <w:rPr>
                <w:rFonts w:ascii="Avenir Book" w:hAnsi="Avenir Book"/>
              </w:rPr>
              <w:t>National Parks and Wildlife Act 1974</w:t>
            </w:r>
          </w:p>
          <w:p w14:paraId="6C12BA49" w14:textId="77777777" w:rsidR="007160B9" w:rsidRDefault="007160B9" w:rsidP="007160B9">
            <w:pPr>
              <w:rPr>
                <w:rFonts w:ascii="Avenir Book" w:hAnsi="Avenir Book"/>
              </w:rPr>
            </w:pPr>
            <w:r w:rsidRPr="007160B9">
              <w:rPr>
                <w:rFonts w:ascii="Avenir Book" w:hAnsi="Avenir Book"/>
              </w:rPr>
              <w:t>Noxious Weeds Act 1993</w:t>
            </w:r>
          </w:p>
          <w:p w14:paraId="4B186E24" w14:textId="77777777" w:rsidR="007160B9" w:rsidRDefault="007160B9" w:rsidP="007160B9">
            <w:pPr>
              <w:rPr>
                <w:rFonts w:ascii="Avenir Book" w:hAnsi="Avenir Book"/>
              </w:rPr>
            </w:pPr>
            <w:r w:rsidRPr="007160B9">
              <w:rPr>
                <w:rFonts w:ascii="Avenir Book" w:hAnsi="Avenir Book"/>
              </w:rPr>
              <w:t>Pesticides Act 1999</w:t>
            </w:r>
          </w:p>
          <w:p w14:paraId="5CFE0140" w14:textId="77777777" w:rsidR="007160B9" w:rsidRDefault="007160B9" w:rsidP="007160B9">
            <w:pPr>
              <w:rPr>
                <w:rFonts w:ascii="Avenir Book" w:hAnsi="Avenir Book"/>
              </w:rPr>
            </w:pPr>
            <w:r w:rsidRPr="007160B9">
              <w:rPr>
                <w:rFonts w:ascii="Avenir Book" w:hAnsi="Avenir Book"/>
              </w:rPr>
              <w:t>Pesticides Act 1999</w:t>
            </w:r>
          </w:p>
          <w:p w14:paraId="61D2AD86" w14:textId="77777777" w:rsidR="007160B9" w:rsidRDefault="007160B9" w:rsidP="007160B9">
            <w:pPr>
              <w:rPr>
                <w:rFonts w:ascii="Avenir Book" w:hAnsi="Avenir Book"/>
              </w:rPr>
            </w:pPr>
            <w:r w:rsidRPr="007160B9">
              <w:rPr>
                <w:rFonts w:ascii="Avenir Book" w:hAnsi="Avenir Book"/>
              </w:rPr>
              <w:t>Prevention of Cruelty to Animals Act 1979</w:t>
            </w:r>
          </w:p>
          <w:p w14:paraId="097E0D13" w14:textId="77777777" w:rsidR="007160B9" w:rsidRDefault="007160B9" w:rsidP="007160B9">
            <w:pPr>
              <w:rPr>
                <w:rFonts w:ascii="Avenir Book" w:hAnsi="Avenir Book"/>
              </w:rPr>
            </w:pPr>
            <w:r w:rsidRPr="007160B9">
              <w:rPr>
                <w:rFonts w:ascii="Avenir Book" w:hAnsi="Avenir Book"/>
              </w:rPr>
              <w:t>Threatened Species Conservation Act 1995</w:t>
            </w:r>
          </w:p>
          <w:p w14:paraId="010D6919" w14:textId="3F145141" w:rsidR="007160B9" w:rsidRDefault="007160B9" w:rsidP="007160B9">
            <w:pPr>
              <w:rPr>
                <w:rFonts w:ascii="Avenir Book" w:hAnsi="Avenir Book"/>
              </w:rPr>
            </w:pPr>
            <w:r w:rsidRPr="007160B9">
              <w:rPr>
                <w:rFonts w:ascii="Avenir Book" w:hAnsi="Avenir Book"/>
              </w:rPr>
              <w:t>Wild Dog Destruction Act 1921</w:t>
            </w:r>
          </w:p>
        </w:tc>
      </w:tr>
      <w:tr w:rsidR="007160B9" w14:paraId="16C47303" w14:textId="77777777" w:rsidTr="00895E6F">
        <w:trPr>
          <w:trHeight w:val="567"/>
        </w:trPr>
        <w:tc>
          <w:tcPr>
            <w:tcW w:w="2122" w:type="dxa"/>
          </w:tcPr>
          <w:p w14:paraId="72D4B1F4" w14:textId="0FAF0A55" w:rsidR="007160B9" w:rsidRDefault="007160B9" w:rsidP="007160B9">
            <w:pPr>
              <w:rPr>
                <w:rFonts w:ascii="Avenir Book" w:hAnsi="Avenir Book"/>
              </w:rPr>
            </w:pPr>
            <w:r>
              <w:rPr>
                <w:rFonts w:ascii="Avenir Book" w:hAnsi="Avenir Book"/>
              </w:rPr>
              <w:t>Northern Territory</w:t>
            </w:r>
          </w:p>
        </w:tc>
        <w:tc>
          <w:tcPr>
            <w:tcW w:w="7280" w:type="dxa"/>
          </w:tcPr>
          <w:p w14:paraId="49D7B957" w14:textId="77777777" w:rsidR="007160B9" w:rsidRDefault="007160B9" w:rsidP="007160B9">
            <w:pPr>
              <w:rPr>
                <w:rFonts w:ascii="Avenir Book" w:hAnsi="Avenir Book"/>
              </w:rPr>
            </w:pPr>
            <w:r w:rsidRPr="007160B9">
              <w:rPr>
                <w:rFonts w:ascii="Avenir Book" w:hAnsi="Avenir Book"/>
              </w:rPr>
              <w:t>Territory Parks and Wildlife Conservation Act 2006</w:t>
            </w:r>
          </w:p>
          <w:p w14:paraId="64F56171" w14:textId="77777777" w:rsidR="007160B9" w:rsidRDefault="007160B9" w:rsidP="007160B9">
            <w:pPr>
              <w:rPr>
                <w:rFonts w:ascii="Avenir Book" w:hAnsi="Avenir Book"/>
              </w:rPr>
            </w:pPr>
            <w:r w:rsidRPr="007160B9">
              <w:rPr>
                <w:rFonts w:ascii="Avenir Book" w:hAnsi="Avenir Book"/>
              </w:rPr>
              <w:t>Animal Welfare Act</w:t>
            </w:r>
          </w:p>
          <w:p w14:paraId="64BBE170" w14:textId="3BE896FE" w:rsidR="007160B9" w:rsidRDefault="007160B9" w:rsidP="007160B9">
            <w:pPr>
              <w:rPr>
                <w:rFonts w:ascii="Avenir Book" w:hAnsi="Avenir Book"/>
              </w:rPr>
            </w:pPr>
            <w:r w:rsidRPr="007160B9">
              <w:rPr>
                <w:rFonts w:ascii="Avenir Book" w:hAnsi="Avenir Book"/>
              </w:rPr>
              <w:t>Weeds Management Act</w:t>
            </w:r>
          </w:p>
        </w:tc>
      </w:tr>
      <w:tr w:rsidR="007160B9" w14:paraId="1C6B05F5" w14:textId="77777777" w:rsidTr="00895E6F">
        <w:trPr>
          <w:trHeight w:val="567"/>
        </w:trPr>
        <w:tc>
          <w:tcPr>
            <w:tcW w:w="2122" w:type="dxa"/>
          </w:tcPr>
          <w:p w14:paraId="097CEE18" w14:textId="492C0A69" w:rsidR="007160B9" w:rsidRDefault="007160B9" w:rsidP="007160B9">
            <w:pPr>
              <w:rPr>
                <w:rFonts w:ascii="Avenir Book" w:hAnsi="Avenir Book"/>
              </w:rPr>
            </w:pPr>
            <w:r>
              <w:rPr>
                <w:rFonts w:ascii="Avenir Book" w:hAnsi="Avenir Book"/>
              </w:rPr>
              <w:lastRenderedPageBreak/>
              <w:t>Queensland</w:t>
            </w:r>
          </w:p>
        </w:tc>
        <w:tc>
          <w:tcPr>
            <w:tcW w:w="7280" w:type="dxa"/>
          </w:tcPr>
          <w:p w14:paraId="3187AF16" w14:textId="77777777" w:rsidR="007160B9" w:rsidRDefault="007160B9" w:rsidP="007160B9">
            <w:pPr>
              <w:rPr>
                <w:rFonts w:ascii="Avenir Book" w:hAnsi="Avenir Book"/>
              </w:rPr>
            </w:pPr>
            <w:r w:rsidRPr="007160B9">
              <w:rPr>
                <w:rFonts w:ascii="Avenir Book" w:hAnsi="Avenir Book"/>
              </w:rPr>
              <w:t>Land Protection (Pest and Stock Route Management) Act 2002</w:t>
            </w:r>
          </w:p>
          <w:p w14:paraId="13028436" w14:textId="77777777" w:rsidR="007160B9" w:rsidRDefault="007160B9" w:rsidP="007160B9">
            <w:pPr>
              <w:rPr>
                <w:rFonts w:ascii="Avenir Book" w:hAnsi="Avenir Book"/>
              </w:rPr>
            </w:pPr>
            <w:r w:rsidRPr="007160B9">
              <w:rPr>
                <w:rFonts w:ascii="Avenir Book" w:hAnsi="Avenir Book"/>
              </w:rPr>
              <w:t>Animal Care and Protection Act 2001</w:t>
            </w:r>
          </w:p>
          <w:p w14:paraId="15E9936D" w14:textId="77777777" w:rsidR="007160B9" w:rsidRDefault="007160B9" w:rsidP="007160B9">
            <w:pPr>
              <w:rPr>
                <w:rFonts w:ascii="Avenir Book" w:hAnsi="Avenir Book"/>
              </w:rPr>
            </w:pPr>
            <w:r w:rsidRPr="007160B9">
              <w:rPr>
                <w:rFonts w:ascii="Avenir Book" w:hAnsi="Avenir Book"/>
              </w:rPr>
              <w:t>Nature Conservation Act 1992</w:t>
            </w:r>
          </w:p>
          <w:p w14:paraId="18C6C472" w14:textId="3ED8956F" w:rsidR="007160B9" w:rsidRDefault="007160B9" w:rsidP="007160B9">
            <w:pPr>
              <w:rPr>
                <w:rFonts w:ascii="Avenir Book" w:hAnsi="Avenir Book"/>
              </w:rPr>
            </w:pPr>
            <w:r w:rsidRPr="007160B9">
              <w:rPr>
                <w:rFonts w:ascii="Avenir Book" w:hAnsi="Avenir Book"/>
              </w:rPr>
              <w:t>Biosecurity Act 2014</w:t>
            </w:r>
          </w:p>
        </w:tc>
      </w:tr>
      <w:tr w:rsidR="007160B9" w14:paraId="28D43497" w14:textId="77777777" w:rsidTr="00895E6F">
        <w:trPr>
          <w:trHeight w:val="567"/>
        </w:trPr>
        <w:tc>
          <w:tcPr>
            <w:tcW w:w="2122" w:type="dxa"/>
          </w:tcPr>
          <w:p w14:paraId="50D058DA" w14:textId="39984C71" w:rsidR="007160B9" w:rsidRDefault="007160B9" w:rsidP="007160B9">
            <w:pPr>
              <w:rPr>
                <w:rFonts w:ascii="Avenir Book" w:hAnsi="Avenir Book"/>
              </w:rPr>
            </w:pPr>
            <w:r>
              <w:rPr>
                <w:rFonts w:ascii="Avenir Book" w:hAnsi="Avenir Book"/>
              </w:rPr>
              <w:t>South Australia</w:t>
            </w:r>
          </w:p>
        </w:tc>
        <w:tc>
          <w:tcPr>
            <w:tcW w:w="7280" w:type="dxa"/>
          </w:tcPr>
          <w:p w14:paraId="1E5FA2DD" w14:textId="77777777" w:rsidR="007160B9" w:rsidRDefault="007160B9" w:rsidP="007160B9">
            <w:pPr>
              <w:rPr>
                <w:rFonts w:ascii="Avenir Book" w:hAnsi="Avenir Book"/>
              </w:rPr>
            </w:pPr>
            <w:r w:rsidRPr="007160B9">
              <w:rPr>
                <w:rFonts w:ascii="Avenir Book" w:hAnsi="Avenir Book"/>
              </w:rPr>
              <w:t>Animal Welfare Act 1985</w:t>
            </w:r>
          </w:p>
          <w:p w14:paraId="6152E671" w14:textId="77777777" w:rsidR="007160B9" w:rsidRDefault="007160B9" w:rsidP="007160B9">
            <w:pPr>
              <w:rPr>
                <w:rFonts w:ascii="Avenir Book" w:hAnsi="Avenir Book"/>
              </w:rPr>
            </w:pPr>
            <w:r w:rsidRPr="007160B9">
              <w:rPr>
                <w:rFonts w:ascii="Avenir Book" w:hAnsi="Avenir Book"/>
              </w:rPr>
              <w:t>Dog Fence Act 1946</w:t>
            </w:r>
          </w:p>
          <w:p w14:paraId="23F520CE" w14:textId="77777777" w:rsidR="007160B9" w:rsidRDefault="007160B9" w:rsidP="007160B9">
            <w:pPr>
              <w:rPr>
                <w:rFonts w:ascii="Avenir Book" w:hAnsi="Avenir Book"/>
              </w:rPr>
            </w:pPr>
            <w:r w:rsidRPr="007160B9">
              <w:rPr>
                <w:rFonts w:ascii="Avenir Book" w:hAnsi="Avenir Book"/>
              </w:rPr>
              <w:t>National Parks and Wildlife Act 1972</w:t>
            </w:r>
          </w:p>
          <w:p w14:paraId="63ED7CA8" w14:textId="75E316F8" w:rsidR="007160B9" w:rsidRDefault="007160B9" w:rsidP="007160B9">
            <w:pPr>
              <w:rPr>
                <w:rFonts w:ascii="Avenir Book" w:hAnsi="Avenir Book"/>
              </w:rPr>
            </w:pPr>
            <w:r w:rsidRPr="007160B9">
              <w:rPr>
                <w:rFonts w:ascii="Avenir Book" w:hAnsi="Avenir Book"/>
              </w:rPr>
              <w:t>Natural Resources Management Act 2004</w:t>
            </w:r>
          </w:p>
        </w:tc>
      </w:tr>
      <w:tr w:rsidR="007160B9" w14:paraId="1F01CD47" w14:textId="77777777" w:rsidTr="00895E6F">
        <w:trPr>
          <w:trHeight w:val="567"/>
        </w:trPr>
        <w:tc>
          <w:tcPr>
            <w:tcW w:w="2122" w:type="dxa"/>
          </w:tcPr>
          <w:p w14:paraId="6FF24C7C" w14:textId="22B94CEA" w:rsidR="007160B9" w:rsidRDefault="007160B9" w:rsidP="007160B9">
            <w:pPr>
              <w:rPr>
                <w:rFonts w:ascii="Avenir Book" w:hAnsi="Avenir Book"/>
              </w:rPr>
            </w:pPr>
            <w:r>
              <w:rPr>
                <w:rFonts w:ascii="Avenir Book" w:hAnsi="Avenir Book"/>
              </w:rPr>
              <w:t>Tasmania</w:t>
            </w:r>
          </w:p>
        </w:tc>
        <w:tc>
          <w:tcPr>
            <w:tcW w:w="7280" w:type="dxa"/>
          </w:tcPr>
          <w:p w14:paraId="4A2C6F07" w14:textId="77777777" w:rsidR="00B17D94" w:rsidRDefault="00B17D94" w:rsidP="007160B9">
            <w:pPr>
              <w:rPr>
                <w:rFonts w:ascii="Avenir Book" w:hAnsi="Avenir Book"/>
              </w:rPr>
            </w:pPr>
            <w:r w:rsidRPr="00B17D94">
              <w:rPr>
                <w:rFonts w:ascii="Avenir Book" w:hAnsi="Avenir Book"/>
              </w:rPr>
              <w:t>Agricultural and Veterinary Chemical (Control of Use) Act 1995</w:t>
            </w:r>
          </w:p>
          <w:p w14:paraId="5ECCFE11" w14:textId="77777777" w:rsidR="00B17D94" w:rsidRDefault="00B17D94" w:rsidP="007160B9">
            <w:pPr>
              <w:rPr>
                <w:rFonts w:ascii="Avenir Book" w:hAnsi="Avenir Book"/>
              </w:rPr>
            </w:pPr>
            <w:r w:rsidRPr="00B17D94">
              <w:rPr>
                <w:rFonts w:ascii="Avenir Book" w:hAnsi="Avenir Book"/>
              </w:rPr>
              <w:t>Animal Welfare Act 1993</w:t>
            </w:r>
          </w:p>
          <w:p w14:paraId="6FECD584" w14:textId="77777777" w:rsidR="00B17D94" w:rsidRDefault="00B17D94" w:rsidP="007160B9">
            <w:pPr>
              <w:rPr>
                <w:rFonts w:ascii="Avenir Book" w:hAnsi="Avenir Book"/>
              </w:rPr>
            </w:pPr>
            <w:r w:rsidRPr="00B17D94">
              <w:rPr>
                <w:rFonts w:ascii="Avenir Book" w:hAnsi="Avenir Book"/>
              </w:rPr>
              <w:t>Cat Management Act 2009</w:t>
            </w:r>
          </w:p>
          <w:p w14:paraId="00A70FB4" w14:textId="77777777" w:rsidR="00B17D94" w:rsidRDefault="00B17D94" w:rsidP="007160B9">
            <w:pPr>
              <w:rPr>
                <w:rFonts w:ascii="Avenir Book" w:hAnsi="Avenir Book"/>
              </w:rPr>
            </w:pPr>
            <w:r w:rsidRPr="00B17D94">
              <w:rPr>
                <w:rFonts w:ascii="Avenir Book" w:hAnsi="Avenir Book"/>
              </w:rPr>
              <w:t>Nature Conservation Act 2002</w:t>
            </w:r>
          </w:p>
          <w:p w14:paraId="43EBCD46" w14:textId="77777777" w:rsidR="00B17D94" w:rsidRDefault="00B17D94" w:rsidP="007160B9">
            <w:pPr>
              <w:rPr>
                <w:rFonts w:ascii="Avenir Book" w:hAnsi="Avenir Book"/>
              </w:rPr>
            </w:pPr>
            <w:r w:rsidRPr="00B17D94">
              <w:rPr>
                <w:rFonts w:ascii="Avenir Book" w:hAnsi="Avenir Book"/>
              </w:rPr>
              <w:t>Poisons Act 1971</w:t>
            </w:r>
          </w:p>
          <w:p w14:paraId="03E78EFF" w14:textId="77777777" w:rsidR="00B17D94" w:rsidRDefault="00B17D94" w:rsidP="007160B9">
            <w:pPr>
              <w:rPr>
                <w:rFonts w:ascii="Avenir Book" w:hAnsi="Avenir Book"/>
              </w:rPr>
            </w:pPr>
            <w:r w:rsidRPr="00B17D94">
              <w:rPr>
                <w:rFonts w:ascii="Avenir Book" w:hAnsi="Avenir Book"/>
              </w:rPr>
              <w:t>Vermin Control Act 2000</w:t>
            </w:r>
          </w:p>
          <w:p w14:paraId="3D6D23C3" w14:textId="3A91BC0A" w:rsidR="007160B9" w:rsidRDefault="00B17D94" w:rsidP="007160B9">
            <w:pPr>
              <w:rPr>
                <w:rFonts w:ascii="Avenir Book" w:hAnsi="Avenir Book"/>
              </w:rPr>
            </w:pPr>
            <w:r w:rsidRPr="00B17D94">
              <w:rPr>
                <w:rFonts w:ascii="Avenir Book" w:hAnsi="Avenir Book"/>
              </w:rPr>
              <w:t>Weed Management Act 1999</w:t>
            </w:r>
          </w:p>
        </w:tc>
      </w:tr>
      <w:tr w:rsidR="007160B9" w14:paraId="577F25BB" w14:textId="77777777" w:rsidTr="00895E6F">
        <w:trPr>
          <w:trHeight w:val="567"/>
        </w:trPr>
        <w:tc>
          <w:tcPr>
            <w:tcW w:w="2122" w:type="dxa"/>
          </w:tcPr>
          <w:p w14:paraId="232CE3AD" w14:textId="39C879E3" w:rsidR="007160B9" w:rsidRDefault="007160B9" w:rsidP="007160B9">
            <w:pPr>
              <w:rPr>
                <w:rFonts w:ascii="Avenir Book" w:hAnsi="Avenir Book"/>
              </w:rPr>
            </w:pPr>
            <w:r>
              <w:rPr>
                <w:rFonts w:ascii="Avenir Book" w:hAnsi="Avenir Book"/>
              </w:rPr>
              <w:t>Victoria</w:t>
            </w:r>
          </w:p>
        </w:tc>
        <w:tc>
          <w:tcPr>
            <w:tcW w:w="7280" w:type="dxa"/>
          </w:tcPr>
          <w:p w14:paraId="0D924E37" w14:textId="77777777" w:rsidR="00B17D94" w:rsidRDefault="00B17D94" w:rsidP="007160B9">
            <w:pPr>
              <w:rPr>
                <w:rFonts w:ascii="Avenir Book" w:hAnsi="Avenir Book"/>
              </w:rPr>
            </w:pPr>
            <w:r w:rsidRPr="00B17D94">
              <w:rPr>
                <w:rFonts w:ascii="Avenir Book" w:hAnsi="Avenir Book"/>
              </w:rPr>
              <w:t>Agricultural and Veterinary Chemicals (Control of Use) Act 1992</w:t>
            </w:r>
          </w:p>
          <w:p w14:paraId="0B35EC10" w14:textId="77777777" w:rsidR="00B17D94" w:rsidRDefault="00B17D94" w:rsidP="007160B9">
            <w:pPr>
              <w:rPr>
                <w:rFonts w:ascii="Avenir Book" w:hAnsi="Avenir Book"/>
              </w:rPr>
            </w:pPr>
            <w:r w:rsidRPr="00B17D94">
              <w:rPr>
                <w:rFonts w:ascii="Avenir Book" w:hAnsi="Avenir Book"/>
              </w:rPr>
              <w:t>Agricultural and Veterinary Chemicals (Control of Use) Act 1992</w:t>
            </w:r>
          </w:p>
          <w:p w14:paraId="2DB6CB62" w14:textId="77777777" w:rsidR="00B17D94" w:rsidRDefault="00B17D94" w:rsidP="007160B9">
            <w:pPr>
              <w:rPr>
                <w:rFonts w:ascii="Avenir Book" w:hAnsi="Avenir Book"/>
              </w:rPr>
            </w:pPr>
            <w:r w:rsidRPr="00B17D94">
              <w:rPr>
                <w:rFonts w:ascii="Avenir Book" w:hAnsi="Avenir Book"/>
              </w:rPr>
              <w:t>Catchment and Land Protections Act 1994</w:t>
            </w:r>
          </w:p>
          <w:p w14:paraId="76B1BBDA" w14:textId="77777777" w:rsidR="00B17D94" w:rsidRDefault="00B17D94" w:rsidP="007160B9">
            <w:pPr>
              <w:rPr>
                <w:rFonts w:ascii="Avenir Book" w:hAnsi="Avenir Book"/>
              </w:rPr>
            </w:pPr>
            <w:r w:rsidRPr="00B17D94">
              <w:rPr>
                <w:rFonts w:ascii="Avenir Book" w:hAnsi="Avenir Book"/>
              </w:rPr>
              <w:t>Drugs, Poisons and Controlled Substances Act 1981</w:t>
            </w:r>
          </w:p>
          <w:p w14:paraId="3F087F08" w14:textId="77777777" w:rsidR="00B17D94" w:rsidRDefault="00B17D94" w:rsidP="007160B9">
            <w:pPr>
              <w:rPr>
                <w:rFonts w:ascii="Avenir Book" w:hAnsi="Avenir Book"/>
              </w:rPr>
            </w:pPr>
            <w:r w:rsidRPr="00B17D94">
              <w:rPr>
                <w:rFonts w:ascii="Avenir Book" w:hAnsi="Avenir Book"/>
              </w:rPr>
              <w:t>Firearms Act 1996</w:t>
            </w:r>
          </w:p>
          <w:p w14:paraId="3D1CFC68" w14:textId="77777777" w:rsidR="00B17D94" w:rsidRDefault="00B17D94" w:rsidP="007160B9">
            <w:pPr>
              <w:rPr>
                <w:rFonts w:ascii="Avenir Book" w:hAnsi="Avenir Book"/>
              </w:rPr>
            </w:pPr>
            <w:r w:rsidRPr="00B17D94">
              <w:rPr>
                <w:rFonts w:ascii="Avenir Book" w:hAnsi="Avenir Book"/>
              </w:rPr>
              <w:t>Flora and Fauna Guarantee Act 1988</w:t>
            </w:r>
          </w:p>
          <w:p w14:paraId="7780C1BC" w14:textId="77777777" w:rsidR="00B17D94" w:rsidRDefault="00B17D94" w:rsidP="007160B9">
            <w:pPr>
              <w:rPr>
                <w:rFonts w:ascii="Avenir Book" w:hAnsi="Avenir Book"/>
              </w:rPr>
            </w:pPr>
            <w:r w:rsidRPr="00B17D94">
              <w:rPr>
                <w:rFonts w:ascii="Avenir Book" w:hAnsi="Avenir Book"/>
              </w:rPr>
              <w:t>National Parks Act 1975</w:t>
            </w:r>
          </w:p>
          <w:p w14:paraId="584C8DD4" w14:textId="77777777" w:rsidR="00B17D94" w:rsidRDefault="00B17D94" w:rsidP="007160B9">
            <w:pPr>
              <w:rPr>
                <w:rFonts w:ascii="Avenir Book" w:hAnsi="Avenir Book"/>
              </w:rPr>
            </w:pPr>
            <w:r w:rsidRPr="00B17D94">
              <w:rPr>
                <w:rFonts w:ascii="Avenir Book" w:hAnsi="Avenir Book"/>
              </w:rPr>
              <w:t>Prevention of Cruelty to Animals Act 1986 (POCTA)</w:t>
            </w:r>
          </w:p>
          <w:p w14:paraId="3C20A5CF" w14:textId="77777777" w:rsidR="00B17D94" w:rsidRDefault="00B17D94" w:rsidP="007160B9">
            <w:pPr>
              <w:rPr>
                <w:rFonts w:ascii="Avenir Book" w:hAnsi="Avenir Book"/>
              </w:rPr>
            </w:pPr>
            <w:r w:rsidRPr="00B17D94">
              <w:rPr>
                <w:rFonts w:ascii="Avenir Book" w:hAnsi="Avenir Book"/>
              </w:rPr>
              <w:t>Public Health and Wellbeing Act 2008</w:t>
            </w:r>
          </w:p>
          <w:p w14:paraId="0C27373F" w14:textId="4D151057" w:rsidR="007160B9" w:rsidRDefault="00B17D94" w:rsidP="007160B9">
            <w:pPr>
              <w:rPr>
                <w:rFonts w:ascii="Avenir Book" w:hAnsi="Avenir Book"/>
              </w:rPr>
            </w:pPr>
            <w:r w:rsidRPr="00B17D94">
              <w:rPr>
                <w:rFonts w:ascii="Avenir Book" w:hAnsi="Avenir Book"/>
              </w:rPr>
              <w:t>Wildlife Act 1975</w:t>
            </w:r>
          </w:p>
        </w:tc>
      </w:tr>
      <w:tr w:rsidR="007160B9" w14:paraId="2A2721A7" w14:textId="77777777" w:rsidTr="00895E6F">
        <w:trPr>
          <w:trHeight w:val="567"/>
        </w:trPr>
        <w:tc>
          <w:tcPr>
            <w:tcW w:w="2122" w:type="dxa"/>
          </w:tcPr>
          <w:p w14:paraId="43D75977" w14:textId="5AF8BAE0" w:rsidR="007160B9" w:rsidRDefault="007160B9" w:rsidP="007160B9">
            <w:pPr>
              <w:rPr>
                <w:rFonts w:ascii="Avenir Book" w:hAnsi="Avenir Book"/>
              </w:rPr>
            </w:pPr>
            <w:r>
              <w:rPr>
                <w:rFonts w:ascii="Avenir Book" w:hAnsi="Avenir Book"/>
              </w:rPr>
              <w:t>Western Australia</w:t>
            </w:r>
          </w:p>
        </w:tc>
        <w:tc>
          <w:tcPr>
            <w:tcW w:w="7280" w:type="dxa"/>
          </w:tcPr>
          <w:p w14:paraId="7AB8778F" w14:textId="77777777" w:rsidR="00B17D94" w:rsidRDefault="00B17D94" w:rsidP="007160B9">
            <w:pPr>
              <w:rPr>
                <w:rFonts w:ascii="Avenir Book" w:hAnsi="Avenir Book"/>
              </w:rPr>
            </w:pPr>
            <w:r w:rsidRPr="00B17D94">
              <w:rPr>
                <w:rFonts w:ascii="Avenir Book" w:hAnsi="Avenir Book"/>
              </w:rPr>
              <w:t>Agriculture and Related Resources Protection Act 1976</w:t>
            </w:r>
          </w:p>
          <w:p w14:paraId="1494209D" w14:textId="77777777" w:rsidR="007160B9" w:rsidRDefault="00B17D94" w:rsidP="007160B9">
            <w:pPr>
              <w:rPr>
                <w:rFonts w:ascii="Avenir Book" w:hAnsi="Avenir Book"/>
              </w:rPr>
            </w:pPr>
            <w:r w:rsidRPr="00B17D94">
              <w:rPr>
                <w:rFonts w:ascii="Avenir Book" w:hAnsi="Avenir Book"/>
              </w:rPr>
              <w:t>Animal Welfare Act 2002</w:t>
            </w:r>
          </w:p>
          <w:p w14:paraId="4E485548" w14:textId="77777777" w:rsidR="00B17D94" w:rsidRDefault="00B17D94" w:rsidP="007160B9">
            <w:pPr>
              <w:rPr>
                <w:rFonts w:ascii="Avenir Book" w:hAnsi="Avenir Book"/>
              </w:rPr>
            </w:pPr>
            <w:r w:rsidRPr="00B17D94">
              <w:rPr>
                <w:rFonts w:ascii="Avenir Book" w:hAnsi="Avenir Book"/>
              </w:rPr>
              <w:t>Biological Control Act 1986</w:t>
            </w:r>
          </w:p>
          <w:p w14:paraId="5C0E2860" w14:textId="77777777" w:rsidR="00B17D94" w:rsidRDefault="00B17D94" w:rsidP="007160B9">
            <w:pPr>
              <w:rPr>
                <w:rFonts w:ascii="Avenir Book" w:hAnsi="Avenir Book"/>
              </w:rPr>
            </w:pPr>
            <w:r w:rsidRPr="00B17D94">
              <w:rPr>
                <w:rFonts w:ascii="Avenir Book" w:hAnsi="Avenir Book"/>
              </w:rPr>
              <w:t>Biosecurity and Agriculture Management Act 2007</w:t>
            </w:r>
          </w:p>
          <w:p w14:paraId="42B93A06" w14:textId="77777777" w:rsidR="00B17D94" w:rsidRDefault="00B17D94" w:rsidP="007160B9">
            <w:pPr>
              <w:rPr>
                <w:rFonts w:ascii="Avenir Book" w:hAnsi="Avenir Book"/>
              </w:rPr>
            </w:pPr>
            <w:r w:rsidRPr="00B17D94">
              <w:rPr>
                <w:rFonts w:ascii="Avenir Book" w:hAnsi="Avenir Book"/>
              </w:rPr>
              <w:t>Poisons Act 1964</w:t>
            </w:r>
          </w:p>
          <w:p w14:paraId="378FFE9A" w14:textId="16E3F84C" w:rsidR="00B17D94" w:rsidRDefault="00B17D94" w:rsidP="007160B9">
            <w:pPr>
              <w:rPr>
                <w:rFonts w:ascii="Avenir Book" w:hAnsi="Avenir Book"/>
              </w:rPr>
            </w:pPr>
            <w:r w:rsidRPr="00B17D94">
              <w:rPr>
                <w:rFonts w:ascii="Avenir Book" w:hAnsi="Avenir Book"/>
              </w:rPr>
              <w:t>Wildlife Conservation Act 1950</w:t>
            </w:r>
          </w:p>
        </w:tc>
      </w:tr>
    </w:tbl>
    <w:p w14:paraId="0564D9AD" w14:textId="77777777" w:rsidR="00B17D94" w:rsidRPr="005D5A42" w:rsidRDefault="00B17D94" w:rsidP="00B17D94">
      <w:pPr>
        <w:pStyle w:val="BodyTextSI"/>
      </w:pPr>
    </w:p>
    <w:p w14:paraId="08FF81EA" w14:textId="6789A63F" w:rsidR="00B17D94" w:rsidRPr="004C421D" w:rsidRDefault="00B17D94" w:rsidP="00B17D94">
      <w:pPr>
        <w:pStyle w:val="Heading4SI"/>
      </w:pPr>
      <w:r>
        <w:t>Grain trade standards and legislation</w:t>
      </w:r>
    </w:p>
    <w:p w14:paraId="720045B7" w14:textId="77777777" w:rsidR="00B17D94" w:rsidRPr="00B17D94" w:rsidRDefault="00B17D94" w:rsidP="00B17D94">
      <w:pPr>
        <w:rPr>
          <w:rFonts w:ascii="Avenir Book" w:hAnsi="Avenir Book"/>
        </w:rPr>
      </w:pPr>
      <w:r w:rsidRPr="00B17D94">
        <w:rPr>
          <w:rFonts w:ascii="Avenir Book" w:hAnsi="Avenir Book"/>
        </w:rPr>
        <w:t>Grain Trade Australia oversees standards for wheat and coarse grain trade in the domestic and international markets.</w:t>
      </w:r>
    </w:p>
    <w:p w14:paraId="7E608AB8" w14:textId="77777777" w:rsidR="00B17D94" w:rsidRPr="005D5A42" w:rsidRDefault="00B17D94" w:rsidP="00B17D94">
      <w:pPr>
        <w:pStyle w:val="BodyTextSI"/>
      </w:pPr>
    </w:p>
    <w:p w14:paraId="58B6B173" w14:textId="01FEA1AA" w:rsidR="00B17D94" w:rsidRPr="004C421D" w:rsidRDefault="00B17D94" w:rsidP="00B17D94">
      <w:pPr>
        <w:pStyle w:val="Heading4SI"/>
      </w:pPr>
      <w:r>
        <w:t>International regulations and access to markets</w:t>
      </w:r>
    </w:p>
    <w:p w14:paraId="63DC9B16" w14:textId="77777777" w:rsidR="00B17D94" w:rsidRPr="00B17D94" w:rsidRDefault="00B17D94" w:rsidP="00B17D94">
      <w:pPr>
        <w:pStyle w:val="BodyTextSI"/>
      </w:pPr>
      <w:r w:rsidRPr="00B17D94">
        <w:t>To ensure access to European markets, Australian beef producers must follow a series of European Union regulations, laws and other rules governing beef cattle farming. These measures take the form of chain-of-custody certification involving cattle properties, feedlots and processors, and integrate the National Livestock Identification Scheme, which allows for the permanent identification of cattle using electronic microchips.</w:t>
      </w:r>
    </w:p>
    <w:p w14:paraId="3C9047F1" w14:textId="77777777" w:rsidR="00B17D94" w:rsidRPr="005D5A42" w:rsidRDefault="00B17D94" w:rsidP="00B17D94">
      <w:pPr>
        <w:pStyle w:val="BodyTextSI"/>
      </w:pPr>
    </w:p>
    <w:p w14:paraId="0624CB03" w14:textId="2A902646" w:rsidR="00B17D94" w:rsidRPr="004C421D" w:rsidRDefault="00B17D94" w:rsidP="00B17D94">
      <w:pPr>
        <w:pStyle w:val="Heading4SI"/>
      </w:pPr>
      <w:r>
        <w:lastRenderedPageBreak/>
        <w:t>Industry certification programs</w:t>
      </w:r>
    </w:p>
    <w:p w14:paraId="44A23938" w14:textId="77777777" w:rsidR="00B17D94" w:rsidRPr="00B17D94" w:rsidRDefault="00B17D94" w:rsidP="00B17D94">
      <w:pPr>
        <w:pStyle w:val="BodyTextSI"/>
      </w:pPr>
      <w:r w:rsidRPr="00B17D94">
        <w:t>The industry has developed and implemented integrity systems to verify and assure food safety and other quality attributes of livestock. Examples of industry certification programs include:</w:t>
      </w:r>
    </w:p>
    <w:p w14:paraId="1E79EF70" w14:textId="26807674" w:rsidR="00B17D94" w:rsidRPr="00B17D94" w:rsidRDefault="00B17D94" w:rsidP="00895E6F">
      <w:pPr>
        <w:pStyle w:val="BodyTextSI"/>
        <w:numPr>
          <w:ilvl w:val="0"/>
          <w:numId w:val="20"/>
        </w:numPr>
      </w:pPr>
      <w:r w:rsidRPr="00B17D94">
        <w:t>Livestock Production Assurance, an on-farm food safety certification program for cattle, sheep and goats</w:t>
      </w:r>
    </w:p>
    <w:p w14:paraId="46E36A36" w14:textId="579588CB" w:rsidR="00B17D94" w:rsidRPr="00B17D94" w:rsidRDefault="00B17D94" w:rsidP="00895E6F">
      <w:pPr>
        <w:pStyle w:val="BodyTextSI"/>
        <w:numPr>
          <w:ilvl w:val="0"/>
          <w:numId w:val="20"/>
        </w:numPr>
      </w:pPr>
      <w:r w:rsidRPr="00B17D94">
        <w:t>National Feedlot Accreditation Scheme, which encompasses animal health and welfare, environmental conservation, food safety and product integrity</w:t>
      </w:r>
    </w:p>
    <w:p w14:paraId="1D6E813F" w14:textId="73F549FE" w:rsidR="00B17D94" w:rsidRPr="00B17D94" w:rsidRDefault="00B17D94" w:rsidP="00895E6F">
      <w:pPr>
        <w:pStyle w:val="BodyTextSI"/>
        <w:numPr>
          <w:ilvl w:val="0"/>
          <w:numId w:val="20"/>
        </w:numPr>
      </w:pPr>
      <w:r w:rsidRPr="00B17D94">
        <w:t>Australian Dairy Food Safety Scheme, which monitors compliance with food standards to ensure the integrity of the dairy supply chain</w:t>
      </w:r>
    </w:p>
    <w:p w14:paraId="081A70CF" w14:textId="77777777" w:rsidR="00B17D94" w:rsidRDefault="00B17D94" w:rsidP="00B17D94">
      <w:pPr>
        <w:pStyle w:val="BodyTextSI"/>
        <w:numPr>
          <w:ilvl w:val="0"/>
          <w:numId w:val="20"/>
        </w:numPr>
      </w:pPr>
      <w:r w:rsidRPr="00B17D94">
        <w:t>Australian Pork Industry Quality Assurance Program, which provides standards for Australian pig producers</w:t>
      </w:r>
    </w:p>
    <w:p w14:paraId="2BDD72E9" w14:textId="19CDD2BE" w:rsidR="00B17D94" w:rsidRPr="00B17D94" w:rsidRDefault="00B17D94" w:rsidP="00B17D94">
      <w:pPr>
        <w:pStyle w:val="BodyTextSI"/>
        <w:numPr>
          <w:ilvl w:val="0"/>
          <w:numId w:val="20"/>
        </w:numPr>
      </w:pPr>
      <w:r w:rsidRPr="00B17D94">
        <w:t>Egg Corp Assured, a quality assurance program administered by the National Egg Corporation</w:t>
      </w:r>
    </w:p>
    <w:p w14:paraId="698E190D" w14:textId="77777777" w:rsidR="00B17D94" w:rsidRPr="00B17D94" w:rsidRDefault="00B17D94" w:rsidP="00B17D94">
      <w:pPr>
        <w:pStyle w:val="BodyTextSI"/>
        <w:numPr>
          <w:ilvl w:val="0"/>
          <w:numId w:val="20"/>
        </w:numPr>
      </w:pPr>
      <w:r w:rsidRPr="00B17D94">
        <w:t>· Q-Alpaca, a quality assurance program for voluntary use by Australian alpaca breeders and owners</w:t>
      </w:r>
    </w:p>
    <w:p w14:paraId="0B6401B6" w14:textId="77777777" w:rsidR="00B17D94" w:rsidRPr="00B17D94" w:rsidRDefault="00B17D94" w:rsidP="00B17D94">
      <w:pPr>
        <w:pStyle w:val="BodyTextSI"/>
        <w:numPr>
          <w:ilvl w:val="0"/>
          <w:numId w:val="20"/>
        </w:numPr>
      </w:pPr>
      <w:r w:rsidRPr="00B17D94">
        <w:t xml:space="preserve">· B-Qual, a voluntary program for apiarists and honey-processing businesses that ensures that the </w:t>
      </w:r>
      <w:proofErr w:type="gramStart"/>
      <w:r w:rsidRPr="00B17D94">
        <w:t>honey bee</w:t>
      </w:r>
      <w:proofErr w:type="gramEnd"/>
      <w:r w:rsidRPr="00B17D94">
        <w:t xml:space="preserve"> industry’s standards meet best practice, and domestic and international market demands</w:t>
      </w:r>
    </w:p>
    <w:p w14:paraId="16A24B82" w14:textId="77777777" w:rsidR="00B17D94" w:rsidRPr="00B17D94" w:rsidRDefault="00B17D94" w:rsidP="00B17D94">
      <w:pPr>
        <w:pStyle w:val="BodyTextSI"/>
        <w:numPr>
          <w:ilvl w:val="0"/>
          <w:numId w:val="20"/>
        </w:numPr>
      </w:pPr>
      <w:r w:rsidRPr="00B17D94">
        <w:t xml:space="preserve">· </w:t>
      </w:r>
      <w:proofErr w:type="spellStart"/>
      <w:r w:rsidRPr="00B17D94">
        <w:t>FeedSafe</w:t>
      </w:r>
      <w:proofErr w:type="spellEnd"/>
      <w:r w:rsidRPr="00B17D94">
        <w:t>, the quality assurance program for the Australian stockfeed industry</w:t>
      </w:r>
    </w:p>
    <w:p w14:paraId="6B376A07" w14:textId="77777777" w:rsidR="00B17D94" w:rsidRPr="00B17D94" w:rsidRDefault="00B17D94" w:rsidP="00B17D94">
      <w:pPr>
        <w:pStyle w:val="BodyTextSI"/>
        <w:numPr>
          <w:ilvl w:val="0"/>
          <w:numId w:val="20"/>
        </w:numPr>
      </w:pPr>
      <w:r w:rsidRPr="00B17D94">
        <w:t xml:space="preserve">· </w:t>
      </w:r>
      <w:proofErr w:type="spellStart"/>
      <w:r w:rsidRPr="00B17D94">
        <w:t>Freshcare</w:t>
      </w:r>
      <w:proofErr w:type="spellEnd"/>
      <w:r w:rsidRPr="00B17D94">
        <w:t>, the largest on-farm HACCP assurance program.</w:t>
      </w:r>
    </w:p>
    <w:p w14:paraId="01AE389F" w14:textId="77777777" w:rsidR="00B17D94" w:rsidRPr="005D5A42" w:rsidRDefault="00B17D94" w:rsidP="00B17D94">
      <w:pPr>
        <w:pStyle w:val="BodyTextSI"/>
      </w:pPr>
    </w:p>
    <w:p w14:paraId="13BECE02" w14:textId="2AA44BC0" w:rsidR="00B17D94" w:rsidRPr="004C421D" w:rsidRDefault="00B17D94" w:rsidP="00B17D94">
      <w:pPr>
        <w:pStyle w:val="Heading4SI"/>
      </w:pPr>
      <w:r>
        <w:t>Regulated occupations in the industry</w:t>
      </w:r>
    </w:p>
    <w:p w14:paraId="3D46742D" w14:textId="77777777" w:rsidR="00B17D94" w:rsidRPr="00B17D94" w:rsidRDefault="00B17D94" w:rsidP="00B17D94">
      <w:pPr>
        <w:pStyle w:val="BodyTextSI"/>
      </w:pPr>
      <w:r w:rsidRPr="00B17D94">
        <w:t>Regulated occupations are bound by legal (or industry) requirements or restrictions to perform the work. Regulated occupations require a licence from, or registration by, a professional association or occupational licensing authority.</w:t>
      </w:r>
    </w:p>
    <w:p w14:paraId="52E3AC61" w14:textId="77777777" w:rsidR="00B17D94" w:rsidRPr="00B17D94" w:rsidRDefault="00B17D94" w:rsidP="00B17D94">
      <w:pPr>
        <w:pStyle w:val="BodyTextSI"/>
      </w:pPr>
      <w:r w:rsidRPr="00B17D94">
        <w:t xml:space="preserve">The industry does not have any specific trade-licensed occupations. However, it involves different professional accreditation structures overseen by industry bodies. For example, in Victoria, landscapers are required by the Domestic Building Contracts Act 1995 (Vic) to be registered with the state Building Practitioners Board </w:t>
      </w:r>
      <w:proofErr w:type="gramStart"/>
      <w:r w:rsidRPr="00B17D94">
        <w:t>in order to</w:t>
      </w:r>
      <w:proofErr w:type="gramEnd"/>
      <w:r w:rsidRPr="00B17D94">
        <w:t xml:space="preserve"> carry out large-scale structural landscaping. Qualifications include completion of Certificate III courses in landscape construction or horticulture.</w:t>
      </w:r>
    </w:p>
    <w:p w14:paraId="0358D8CA" w14:textId="77777777" w:rsidR="00B17D94" w:rsidRPr="00B17D94" w:rsidRDefault="00B17D94" w:rsidP="00B17D94">
      <w:pPr>
        <w:pStyle w:val="BodyTextSI"/>
      </w:pPr>
      <w:r w:rsidRPr="00B17D94">
        <w:t xml:space="preserve">Similarly, arborists do not need a licence to practise arboriculture in Australia, yet </w:t>
      </w:r>
      <w:proofErr w:type="spellStart"/>
      <w:r w:rsidRPr="00B17D94">
        <w:t>WorkCover</w:t>
      </w:r>
      <w:proofErr w:type="spellEnd"/>
      <w:r w:rsidRPr="00B17D94">
        <w:t xml:space="preserve">, the Tree Contractors Association of Australia, Arboriculture Australia and the Local Government Tree Resources Association recommend that professional arborists meet several requirements. Arborists practising in Australia should represent a professional business, hold proper worker’s compensation insurance, and have minimum qualifications of Certificate II in Horticulture (Arboriculture) for </w:t>
      </w:r>
      <w:r w:rsidRPr="00B17D94">
        <w:lastRenderedPageBreak/>
        <w:t>carrying out ground and climbing work, and Certificate III in Horticulture (Arboriculture) for supervising climbing work.</w:t>
      </w:r>
    </w:p>
    <w:p w14:paraId="6EAF1804" w14:textId="77777777" w:rsidR="00B17D94" w:rsidRPr="005D5A42" w:rsidRDefault="00B17D94" w:rsidP="00B17D94">
      <w:pPr>
        <w:pStyle w:val="BodyTextSI"/>
      </w:pPr>
    </w:p>
    <w:p w14:paraId="4E393C60" w14:textId="47FC3123" w:rsidR="00B17D94" w:rsidRPr="004C421D" w:rsidRDefault="00B17D94" w:rsidP="00B17D94">
      <w:pPr>
        <w:pStyle w:val="Heading4SI"/>
      </w:pPr>
      <w:r>
        <w:t>Industry codes of practice</w:t>
      </w:r>
    </w:p>
    <w:p w14:paraId="1CFE1D2D" w14:textId="77777777" w:rsidR="00B17D94" w:rsidRDefault="00B17D94" w:rsidP="00B17D94">
      <w:pPr>
        <w:rPr>
          <w:rFonts w:ascii="Avenir Book" w:hAnsi="Avenir Book"/>
        </w:rPr>
      </w:pPr>
      <w:proofErr w:type="gramStart"/>
      <w:r w:rsidRPr="00B17D94">
        <w:rPr>
          <w:rFonts w:ascii="Avenir Book" w:hAnsi="Avenir Book"/>
        </w:rPr>
        <w:t>A number of</w:t>
      </w:r>
      <w:proofErr w:type="gramEnd"/>
      <w:r w:rsidRPr="00B17D94">
        <w:rPr>
          <w:rFonts w:ascii="Avenir Book" w:hAnsi="Avenir Book"/>
        </w:rPr>
        <w:t xml:space="preserve"> codes of practice have been developed across the industry sub-sectors to set out industry standards of conduct, including the following:</w:t>
      </w:r>
    </w:p>
    <w:p w14:paraId="4E36AB12" w14:textId="77777777" w:rsidR="00754D0D" w:rsidRDefault="00754D0D" w:rsidP="00B17D94">
      <w:pPr>
        <w:rPr>
          <w:rFonts w:ascii="Avenir Book" w:hAnsi="Avenir Book"/>
        </w:rPr>
      </w:pPr>
    </w:p>
    <w:p w14:paraId="684151BF" w14:textId="77777777" w:rsidR="00754D0D" w:rsidRPr="00895E6F" w:rsidRDefault="00754D0D" w:rsidP="00895E6F">
      <w:pPr>
        <w:pStyle w:val="ListParagraph"/>
        <w:numPr>
          <w:ilvl w:val="0"/>
          <w:numId w:val="22"/>
        </w:numPr>
        <w:rPr>
          <w:rFonts w:ascii="Avenir Book" w:hAnsi="Avenir Book"/>
        </w:rPr>
      </w:pPr>
      <w:r w:rsidRPr="00895E6F">
        <w:rPr>
          <w:rFonts w:ascii="Avenir Book" w:hAnsi="Avenir Book"/>
        </w:rPr>
        <w:t>Horticulture Code of Conduct</w:t>
      </w:r>
    </w:p>
    <w:p w14:paraId="2CE9FC42" w14:textId="19A95BE4" w:rsidR="00754D0D" w:rsidRPr="00895E6F" w:rsidRDefault="00754D0D" w:rsidP="00895E6F">
      <w:pPr>
        <w:pStyle w:val="ListParagraph"/>
        <w:numPr>
          <w:ilvl w:val="0"/>
          <w:numId w:val="22"/>
        </w:numPr>
        <w:rPr>
          <w:rFonts w:ascii="Avenir Book" w:hAnsi="Avenir Book"/>
        </w:rPr>
      </w:pPr>
      <w:r w:rsidRPr="00895E6F">
        <w:rPr>
          <w:rFonts w:ascii="Avenir Book" w:hAnsi="Avenir Book"/>
        </w:rPr>
        <w:t>Growing Australian Grain</w:t>
      </w:r>
    </w:p>
    <w:p w14:paraId="277F2AB9" w14:textId="2EB2DBDC" w:rsidR="00754D0D" w:rsidRPr="00895E6F" w:rsidRDefault="00754D0D" w:rsidP="00895E6F">
      <w:pPr>
        <w:pStyle w:val="ListParagraph"/>
        <w:numPr>
          <w:ilvl w:val="0"/>
          <w:numId w:val="22"/>
        </w:numPr>
        <w:rPr>
          <w:rFonts w:ascii="Avenir Book" w:hAnsi="Avenir Book"/>
        </w:rPr>
      </w:pPr>
      <w:r w:rsidRPr="00895E6F">
        <w:rPr>
          <w:rFonts w:ascii="Avenir Book" w:hAnsi="Avenir Book"/>
        </w:rPr>
        <w:t>Mandatory Port Access Code of Conduct for Grain Export Terminals</w:t>
      </w:r>
    </w:p>
    <w:p w14:paraId="5496BE44" w14:textId="2E075E3F" w:rsidR="00754D0D" w:rsidRPr="00895E6F" w:rsidRDefault="00754D0D" w:rsidP="00895E6F">
      <w:pPr>
        <w:pStyle w:val="ListParagraph"/>
        <w:numPr>
          <w:ilvl w:val="0"/>
          <w:numId w:val="22"/>
        </w:numPr>
        <w:rPr>
          <w:rFonts w:ascii="Avenir Book" w:hAnsi="Avenir Book"/>
        </w:rPr>
      </w:pPr>
      <w:r w:rsidRPr="00895E6F">
        <w:rPr>
          <w:rFonts w:ascii="Avenir Book" w:hAnsi="Avenir Book"/>
        </w:rPr>
        <w:t>Food and Grocery Code of Conduct</w:t>
      </w:r>
    </w:p>
    <w:p w14:paraId="360E2659" w14:textId="0E7327C9" w:rsidR="00754D0D" w:rsidRPr="00895E6F" w:rsidRDefault="00754D0D" w:rsidP="00895E6F">
      <w:pPr>
        <w:pStyle w:val="ListParagraph"/>
        <w:numPr>
          <w:ilvl w:val="0"/>
          <w:numId w:val="22"/>
        </w:numPr>
        <w:rPr>
          <w:rFonts w:ascii="Avenir Book" w:hAnsi="Avenir Book"/>
        </w:rPr>
      </w:pPr>
      <w:r w:rsidRPr="00895E6F">
        <w:rPr>
          <w:rFonts w:ascii="Avenir Book" w:hAnsi="Avenir Book"/>
        </w:rPr>
        <w:t>The Animal Welfare Codes of Practice</w:t>
      </w:r>
    </w:p>
    <w:p w14:paraId="57E1F088" w14:textId="31FED48B" w:rsidR="00754D0D" w:rsidRPr="00895E6F" w:rsidRDefault="00754D0D" w:rsidP="00895E6F">
      <w:pPr>
        <w:pStyle w:val="ListParagraph"/>
        <w:numPr>
          <w:ilvl w:val="0"/>
          <w:numId w:val="22"/>
        </w:numPr>
        <w:rPr>
          <w:rFonts w:ascii="Avenir Book" w:hAnsi="Avenir Book"/>
        </w:rPr>
      </w:pPr>
      <w:r w:rsidRPr="00895E6F">
        <w:rPr>
          <w:rFonts w:ascii="Avenir Book" w:hAnsi="Avenir Book"/>
        </w:rPr>
        <w:t>Australian Animal Welfare Standards and Guidelines (for cattle and sheep)</w:t>
      </w:r>
    </w:p>
    <w:p w14:paraId="11D58732" w14:textId="69313101" w:rsidR="00754D0D" w:rsidRPr="00895E6F" w:rsidRDefault="00754D0D" w:rsidP="00895E6F">
      <w:pPr>
        <w:pStyle w:val="ListParagraph"/>
        <w:numPr>
          <w:ilvl w:val="0"/>
          <w:numId w:val="22"/>
        </w:numPr>
        <w:rPr>
          <w:rFonts w:ascii="Avenir Book" w:hAnsi="Avenir Book"/>
        </w:rPr>
      </w:pPr>
      <w:r w:rsidRPr="00895E6F">
        <w:rPr>
          <w:rFonts w:ascii="Avenir Book" w:hAnsi="Avenir Book"/>
        </w:rPr>
        <w:t>RSPCA Approved Farming Scheme</w:t>
      </w:r>
    </w:p>
    <w:p w14:paraId="47B05152" w14:textId="64049360" w:rsidR="00754D0D" w:rsidRPr="00895E6F" w:rsidRDefault="00754D0D" w:rsidP="00895E6F">
      <w:pPr>
        <w:pStyle w:val="ListParagraph"/>
        <w:numPr>
          <w:ilvl w:val="0"/>
          <w:numId w:val="22"/>
        </w:numPr>
        <w:rPr>
          <w:rFonts w:ascii="Avenir Book" w:hAnsi="Avenir Book"/>
        </w:rPr>
      </w:pPr>
      <w:r w:rsidRPr="00895E6F">
        <w:rPr>
          <w:rFonts w:ascii="Avenir Book" w:hAnsi="Avenir Book"/>
        </w:rPr>
        <w:t>Australian Wine Industry Code of Conduct</w:t>
      </w:r>
    </w:p>
    <w:p w14:paraId="522C8D8E" w14:textId="7F29D5D4" w:rsidR="00754D0D" w:rsidRPr="00895E6F" w:rsidRDefault="00754D0D" w:rsidP="00895E6F">
      <w:pPr>
        <w:pStyle w:val="ListParagraph"/>
        <w:numPr>
          <w:ilvl w:val="0"/>
          <w:numId w:val="22"/>
        </w:numPr>
        <w:rPr>
          <w:rFonts w:ascii="Avenir Book" w:hAnsi="Avenir Book"/>
        </w:rPr>
      </w:pPr>
      <w:r w:rsidRPr="00895E6F">
        <w:rPr>
          <w:rFonts w:ascii="Avenir Book" w:hAnsi="Avenir Book"/>
        </w:rPr>
        <w:t>Code of Good Manufacturing Practice for the Feed Milling Industry</w:t>
      </w:r>
    </w:p>
    <w:p w14:paraId="123F6777" w14:textId="5DA21C0E" w:rsidR="00754D0D" w:rsidRPr="00895E6F" w:rsidRDefault="00754D0D" w:rsidP="00895E6F">
      <w:pPr>
        <w:pStyle w:val="ListParagraph"/>
        <w:numPr>
          <w:ilvl w:val="0"/>
          <w:numId w:val="22"/>
        </w:numPr>
        <w:rPr>
          <w:rFonts w:ascii="Avenir Book" w:hAnsi="Avenir Book"/>
        </w:rPr>
      </w:pPr>
      <w:r w:rsidRPr="00895E6F">
        <w:rPr>
          <w:rFonts w:ascii="Avenir Book" w:hAnsi="Avenir Book"/>
        </w:rPr>
        <w:t>The Australian Aquaculture Code of Conduct</w:t>
      </w:r>
    </w:p>
    <w:p w14:paraId="257102C5" w14:textId="0FFEBF26" w:rsidR="00754D0D" w:rsidRPr="00895E6F" w:rsidRDefault="00754D0D" w:rsidP="00895E6F">
      <w:pPr>
        <w:pStyle w:val="ListParagraph"/>
        <w:numPr>
          <w:ilvl w:val="0"/>
          <w:numId w:val="22"/>
        </w:numPr>
        <w:rPr>
          <w:rFonts w:ascii="Avenir Book" w:hAnsi="Avenir Book"/>
        </w:rPr>
      </w:pPr>
      <w:r w:rsidRPr="00895E6F">
        <w:rPr>
          <w:rFonts w:ascii="Avenir Book" w:hAnsi="Avenir Book"/>
        </w:rPr>
        <w:t>Code of Practice: Amenity Tree Industry (</w:t>
      </w:r>
      <w:proofErr w:type="spellStart"/>
      <w:r w:rsidRPr="00895E6F">
        <w:rPr>
          <w:rFonts w:ascii="Avenir Book" w:hAnsi="Avenir Book"/>
        </w:rPr>
        <w:t>WorkCover</w:t>
      </w:r>
      <w:proofErr w:type="spellEnd"/>
      <w:r w:rsidRPr="00895E6F">
        <w:rPr>
          <w:rFonts w:ascii="Avenir Book" w:hAnsi="Avenir Book"/>
        </w:rPr>
        <w:t>)</w:t>
      </w:r>
    </w:p>
    <w:p w14:paraId="7B83FE6E" w14:textId="09117963" w:rsidR="00754D0D" w:rsidRPr="00895E6F" w:rsidRDefault="00754D0D" w:rsidP="00895E6F">
      <w:pPr>
        <w:pStyle w:val="ListParagraph"/>
        <w:numPr>
          <w:ilvl w:val="0"/>
          <w:numId w:val="22"/>
        </w:numPr>
        <w:rPr>
          <w:rFonts w:ascii="Avenir Book" w:hAnsi="Avenir Book"/>
        </w:rPr>
      </w:pPr>
      <w:r w:rsidRPr="00895E6F">
        <w:rPr>
          <w:rFonts w:ascii="Avenir Book" w:hAnsi="Avenir Book"/>
        </w:rPr>
        <w:t>Model Code of Practice for the Welfare of Animals – Domestic Poultry</w:t>
      </w:r>
    </w:p>
    <w:p w14:paraId="11C4AB03" w14:textId="377BD770" w:rsidR="00754D0D" w:rsidRPr="00895E6F" w:rsidRDefault="00754D0D" w:rsidP="00895E6F">
      <w:pPr>
        <w:pStyle w:val="ListParagraph"/>
        <w:numPr>
          <w:ilvl w:val="0"/>
          <w:numId w:val="22"/>
        </w:numPr>
        <w:rPr>
          <w:rFonts w:ascii="Avenir Book" w:hAnsi="Avenir Book"/>
        </w:rPr>
      </w:pPr>
      <w:r w:rsidRPr="00895E6F">
        <w:rPr>
          <w:rFonts w:ascii="Avenir Book" w:hAnsi="Avenir Book"/>
        </w:rPr>
        <w:t>National Farm Biosecurity Manual – Poultry Production</w:t>
      </w:r>
    </w:p>
    <w:p w14:paraId="40E15F0B" w14:textId="49382541" w:rsidR="00754D0D" w:rsidRPr="00895E6F" w:rsidRDefault="00754D0D" w:rsidP="00895E6F">
      <w:pPr>
        <w:pStyle w:val="ListParagraph"/>
        <w:numPr>
          <w:ilvl w:val="0"/>
          <w:numId w:val="22"/>
        </w:numPr>
        <w:rPr>
          <w:rFonts w:ascii="Avenir Book" w:hAnsi="Avenir Book"/>
        </w:rPr>
      </w:pPr>
      <w:r w:rsidRPr="00895E6F">
        <w:rPr>
          <w:rFonts w:ascii="Avenir Book" w:hAnsi="Avenir Book"/>
        </w:rPr>
        <w:t>Farm Biosecurity Manual for the Duck Meat Industry</w:t>
      </w:r>
    </w:p>
    <w:p w14:paraId="2107F161" w14:textId="2F7C38A2" w:rsidR="00754D0D" w:rsidRPr="00895E6F" w:rsidRDefault="00754D0D" w:rsidP="00895E6F">
      <w:pPr>
        <w:pStyle w:val="ListParagraph"/>
        <w:numPr>
          <w:ilvl w:val="0"/>
          <w:numId w:val="22"/>
        </w:numPr>
        <w:rPr>
          <w:rFonts w:ascii="Avenir Book" w:hAnsi="Avenir Book"/>
        </w:rPr>
      </w:pPr>
      <w:r w:rsidRPr="00895E6F">
        <w:rPr>
          <w:rFonts w:ascii="Avenir Book" w:hAnsi="Avenir Book"/>
        </w:rPr>
        <w:t>National Standard for Organic and Bio-Dynamic Produce</w:t>
      </w:r>
    </w:p>
    <w:p w14:paraId="7D7876C1" w14:textId="26512289" w:rsidR="00B17D94" w:rsidRPr="00895E6F" w:rsidRDefault="00B17D94" w:rsidP="00895E6F">
      <w:pPr>
        <w:pStyle w:val="ListParagraph"/>
        <w:numPr>
          <w:ilvl w:val="0"/>
          <w:numId w:val="21"/>
        </w:numPr>
        <w:rPr>
          <w:rFonts w:ascii="Avenir Book" w:hAnsi="Avenir Book"/>
        </w:rPr>
      </w:pPr>
      <w:r w:rsidRPr="00895E6F">
        <w:rPr>
          <w:rFonts w:ascii="Avenir Book" w:hAnsi="Avenir Book"/>
        </w:rPr>
        <w:t>the Preparation of Australian Wool Clips.</w:t>
      </w:r>
    </w:p>
    <w:p w14:paraId="45E328A6" w14:textId="77777777" w:rsidR="00B17D94" w:rsidRPr="005D5A42" w:rsidRDefault="00B17D94" w:rsidP="00B17D94">
      <w:pPr>
        <w:pStyle w:val="BodyTextSI"/>
      </w:pPr>
    </w:p>
    <w:p w14:paraId="369B388E" w14:textId="3F83279C" w:rsidR="00B17D94" w:rsidRPr="004C421D" w:rsidRDefault="00754D0D" w:rsidP="00B17D94">
      <w:pPr>
        <w:pStyle w:val="Heading4SI"/>
      </w:pPr>
      <w:r>
        <w:t>Codes of practice</w:t>
      </w:r>
      <w:r w:rsidR="00B17D94">
        <w:t xml:space="preserve"> relevant to agricultural chemical use</w:t>
      </w:r>
    </w:p>
    <w:tbl>
      <w:tblPr>
        <w:tblStyle w:val="TableGrid"/>
        <w:tblW w:w="0" w:type="auto"/>
        <w:tblBorders>
          <w:top w:val="single" w:sz="18" w:space="0" w:color="538135" w:themeColor="accent6" w:themeShade="BF"/>
          <w:left w:val="none" w:sz="0" w:space="0" w:color="auto"/>
          <w:bottom w:val="single" w:sz="4" w:space="0" w:color="538135" w:themeColor="accent6" w:themeShade="BF"/>
          <w:right w:val="none" w:sz="0" w:space="0" w:color="auto"/>
          <w:insideH w:val="single" w:sz="4" w:space="0" w:color="538135" w:themeColor="accent6" w:themeShade="BF"/>
          <w:insideV w:val="none" w:sz="0" w:space="0" w:color="auto"/>
        </w:tblBorders>
        <w:tblLook w:val="04A0" w:firstRow="1" w:lastRow="0" w:firstColumn="1" w:lastColumn="0" w:noHBand="0" w:noVBand="1"/>
      </w:tblPr>
      <w:tblGrid>
        <w:gridCol w:w="2122"/>
        <w:gridCol w:w="7280"/>
      </w:tblGrid>
      <w:tr w:rsidR="00B17D94" w14:paraId="4D395471" w14:textId="77777777" w:rsidTr="00CD1F2E">
        <w:trPr>
          <w:trHeight w:val="567"/>
        </w:trPr>
        <w:tc>
          <w:tcPr>
            <w:tcW w:w="2122" w:type="dxa"/>
            <w:tcBorders>
              <w:top w:val="single" w:sz="18" w:space="0" w:color="538135" w:themeColor="accent6" w:themeShade="BF"/>
              <w:bottom w:val="single" w:sz="18" w:space="0" w:color="538135" w:themeColor="accent6" w:themeShade="BF"/>
            </w:tcBorders>
          </w:tcPr>
          <w:p w14:paraId="7BD567AA" w14:textId="77777777" w:rsidR="00B17D94" w:rsidRPr="00CD1F2E" w:rsidRDefault="00B17D94" w:rsidP="00CD1F2E">
            <w:pPr>
              <w:rPr>
                <w:rFonts w:ascii="Avenir Book" w:hAnsi="Avenir Book"/>
                <w:b/>
                <w:bCs/>
                <w:color w:val="538135" w:themeColor="accent6" w:themeShade="BF"/>
                <w:sz w:val="28"/>
                <w:szCs w:val="28"/>
              </w:rPr>
            </w:pPr>
            <w:r w:rsidRPr="00CD1F2E">
              <w:rPr>
                <w:rFonts w:ascii="Avenir Book" w:hAnsi="Avenir Book"/>
                <w:b/>
                <w:bCs/>
                <w:color w:val="538135" w:themeColor="accent6" w:themeShade="BF"/>
                <w:sz w:val="28"/>
                <w:szCs w:val="28"/>
              </w:rPr>
              <w:t>Context</w:t>
            </w:r>
          </w:p>
        </w:tc>
        <w:tc>
          <w:tcPr>
            <w:tcW w:w="7280" w:type="dxa"/>
            <w:tcBorders>
              <w:top w:val="single" w:sz="18" w:space="0" w:color="538135" w:themeColor="accent6" w:themeShade="BF"/>
              <w:bottom w:val="single" w:sz="18" w:space="0" w:color="538135" w:themeColor="accent6" w:themeShade="BF"/>
            </w:tcBorders>
          </w:tcPr>
          <w:p w14:paraId="44F6DAEB" w14:textId="77777777" w:rsidR="00B17D94" w:rsidRPr="00CD1F2E" w:rsidRDefault="00B17D94" w:rsidP="00CD1F2E">
            <w:pPr>
              <w:rPr>
                <w:rFonts w:ascii="Avenir Book" w:hAnsi="Avenir Book"/>
                <w:b/>
                <w:bCs/>
                <w:color w:val="538135" w:themeColor="accent6" w:themeShade="BF"/>
                <w:sz w:val="28"/>
                <w:szCs w:val="28"/>
              </w:rPr>
            </w:pPr>
            <w:r w:rsidRPr="00CD1F2E">
              <w:rPr>
                <w:rFonts w:ascii="Avenir Book" w:hAnsi="Avenir Book"/>
                <w:b/>
                <w:bCs/>
                <w:color w:val="538135" w:themeColor="accent6" w:themeShade="BF"/>
                <w:sz w:val="28"/>
                <w:szCs w:val="28"/>
              </w:rPr>
              <w:t>Legislation</w:t>
            </w:r>
          </w:p>
        </w:tc>
      </w:tr>
      <w:tr w:rsidR="00B17D94" w14:paraId="78DFCA4A" w14:textId="77777777" w:rsidTr="00CD1F2E">
        <w:trPr>
          <w:trHeight w:val="567"/>
        </w:trPr>
        <w:tc>
          <w:tcPr>
            <w:tcW w:w="2122" w:type="dxa"/>
            <w:tcBorders>
              <w:top w:val="single" w:sz="18" w:space="0" w:color="538135" w:themeColor="accent6" w:themeShade="BF"/>
            </w:tcBorders>
          </w:tcPr>
          <w:p w14:paraId="2B69628C" w14:textId="77777777" w:rsidR="00B17D94" w:rsidRDefault="00B17D94" w:rsidP="00CD1F2E">
            <w:pPr>
              <w:rPr>
                <w:rFonts w:ascii="Avenir Book" w:hAnsi="Avenir Book"/>
              </w:rPr>
            </w:pPr>
            <w:r>
              <w:rPr>
                <w:rFonts w:ascii="Avenir Book" w:hAnsi="Avenir Book"/>
              </w:rPr>
              <w:t>Commonwealth Government</w:t>
            </w:r>
          </w:p>
        </w:tc>
        <w:tc>
          <w:tcPr>
            <w:tcW w:w="7280" w:type="dxa"/>
            <w:tcBorders>
              <w:top w:val="single" w:sz="18" w:space="0" w:color="538135" w:themeColor="accent6" w:themeShade="BF"/>
            </w:tcBorders>
          </w:tcPr>
          <w:p w14:paraId="04F65321" w14:textId="0ADAC7A0" w:rsidR="00B17D94" w:rsidRDefault="00754D0D" w:rsidP="00CD1F2E">
            <w:pPr>
              <w:rPr>
                <w:rFonts w:ascii="Avenir Book" w:hAnsi="Avenir Book"/>
              </w:rPr>
            </w:pPr>
            <w:r w:rsidRPr="00754D0D">
              <w:rPr>
                <w:rFonts w:ascii="Avenir Book" w:hAnsi="Avenir Book"/>
              </w:rPr>
              <w:t>Managing risks of hazardous chemicals in the workplace – code of practice</w:t>
            </w:r>
          </w:p>
        </w:tc>
      </w:tr>
      <w:tr w:rsidR="00B17D94" w14:paraId="44BBFBEA" w14:textId="77777777" w:rsidTr="00CD1F2E">
        <w:trPr>
          <w:trHeight w:val="567"/>
        </w:trPr>
        <w:tc>
          <w:tcPr>
            <w:tcW w:w="2122" w:type="dxa"/>
          </w:tcPr>
          <w:p w14:paraId="3C6066A7" w14:textId="77777777" w:rsidR="00B17D94" w:rsidRDefault="00B17D94" w:rsidP="00CD1F2E">
            <w:pPr>
              <w:rPr>
                <w:rFonts w:ascii="Avenir Book" w:hAnsi="Avenir Book"/>
              </w:rPr>
            </w:pPr>
            <w:r>
              <w:rPr>
                <w:rFonts w:ascii="Avenir Book" w:hAnsi="Avenir Book"/>
              </w:rPr>
              <w:t>Australian Capital Territory</w:t>
            </w:r>
          </w:p>
        </w:tc>
        <w:tc>
          <w:tcPr>
            <w:tcW w:w="7280" w:type="dxa"/>
          </w:tcPr>
          <w:p w14:paraId="594EF28D" w14:textId="3E0D64DC" w:rsidR="00B17D94" w:rsidRDefault="00754D0D" w:rsidP="00CD1F2E">
            <w:pPr>
              <w:rPr>
                <w:rFonts w:ascii="Avenir Book" w:hAnsi="Avenir Book"/>
              </w:rPr>
            </w:pPr>
            <w:r w:rsidRPr="00754D0D">
              <w:rPr>
                <w:rFonts w:ascii="Avenir Book" w:hAnsi="Avenir Book"/>
              </w:rPr>
              <w:t>Agricultural and Veterinary Chemicals Code – Australian Capital Territory</w:t>
            </w:r>
          </w:p>
        </w:tc>
      </w:tr>
      <w:tr w:rsidR="00B17D94" w14:paraId="72E8C2E7" w14:textId="77777777" w:rsidTr="00CD1F2E">
        <w:trPr>
          <w:trHeight w:val="567"/>
        </w:trPr>
        <w:tc>
          <w:tcPr>
            <w:tcW w:w="2122" w:type="dxa"/>
          </w:tcPr>
          <w:p w14:paraId="7ABC2109" w14:textId="77777777" w:rsidR="00B17D94" w:rsidRDefault="00B17D94" w:rsidP="00CD1F2E">
            <w:pPr>
              <w:rPr>
                <w:rFonts w:ascii="Avenir Book" w:hAnsi="Avenir Book"/>
              </w:rPr>
            </w:pPr>
            <w:r>
              <w:rPr>
                <w:rFonts w:ascii="Avenir Book" w:hAnsi="Avenir Book"/>
              </w:rPr>
              <w:t>New South Wales</w:t>
            </w:r>
          </w:p>
        </w:tc>
        <w:tc>
          <w:tcPr>
            <w:tcW w:w="7280" w:type="dxa"/>
          </w:tcPr>
          <w:p w14:paraId="1E4C5F17" w14:textId="1C1E8D3C" w:rsidR="00B17D94" w:rsidRDefault="00754D0D" w:rsidP="00CD1F2E">
            <w:pPr>
              <w:rPr>
                <w:rFonts w:ascii="Avenir Book" w:hAnsi="Avenir Book"/>
              </w:rPr>
            </w:pPr>
            <w:r w:rsidRPr="00754D0D">
              <w:rPr>
                <w:rFonts w:ascii="Avenir Book" w:hAnsi="Avenir Book"/>
              </w:rPr>
              <w:t>Code of practice managing risks of hazardous chemicals in the workplace</w:t>
            </w:r>
          </w:p>
        </w:tc>
      </w:tr>
      <w:tr w:rsidR="00B17D94" w14:paraId="77F0B610" w14:textId="77777777" w:rsidTr="00CD1F2E">
        <w:trPr>
          <w:trHeight w:val="567"/>
        </w:trPr>
        <w:tc>
          <w:tcPr>
            <w:tcW w:w="2122" w:type="dxa"/>
          </w:tcPr>
          <w:p w14:paraId="668A180B" w14:textId="77777777" w:rsidR="00B17D94" w:rsidRDefault="00B17D94" w:rsidP="00CD1F2E">
            <w:pPr>
              <w:rPr>
                <w:rFonts w:ascii="Avenir Book" w:hAnsi="Avenir Book"/>
              </w:rPr>
            </w:pPr>
            <w:r>
              <w:rPr>
                <w:rFonts w:ascii="Avenir Book" w:hAnsi="Avenir Book"/>
              </w:rPr>
              <w:t>Northern Territory</w:t>
            </w:r>
          </w:p>
        </w:tc>
        <w:tc>
          <w:tcPr>
            <w:tcW w:w="7280" w:type="dxa"/>
          </w:tcPr>
          <w:p w14:paraId="5AC94F36" w14:textId="03F7DA19" w:rsidR="00B17D94" w:rsidRDefault="00754D0D" w:rsidP="00CD1F2E">
            <w:pPr>
              <w:rPr>
                <w:rFonts w:ascii="Avenir Book" w:hAnsi="Avenir Book"/>
              </w:rPr>
            </w:pPr>
            <w:r w:rsidRPr="00754D0D">
              <w:rPr>
                <w:rFonts w:ascii="Avenir Book" w:hAnsi="Avenir Book"/>
              </w:rPr>
              <w:t>Code of practice for handling pesticides</w:t>
            </w:r>
          </w:p>
        </w:tc>
      </w:tr>
      <w:tr w:rsidR="00B17D94" w14:paraId="3DDB5968" w14:textId="77777777" w:rsidTr="00CD1F2E">
        <w:trPr>
          <w:trHeight w:val="567"/>
        </w:trPr>
        <w:tc>
          <w:tcPr>
            <w:tcW w:w="2122" w:type="dxa"/>
          </w:tcPr>
          <w:p w14:paraId="68856FC8" w14:textId="77777777" w:rsidR="00B17D94" w:rsidRDefault="00B17D94" w:rsidP="00CD1F2E">
            <w:pPr>
              <w:rPr>
                <w:rFonts w:ascii="Avenir Book" w:hAnsi="Avenir Book"/>
              </w:rPr>
            </w:pPr>
            <w:r>
              <w:rPr>
                <w:rFonts w:ascii="Avenir Book" w:hAnsi="Avenir Book"/>
              </w:rPr>
              <w:t>Queensland</w:t>
            </w:r>
          </w:p>
        </w:tc>
        <w:tc>
          <w:tcPr>
            <w:tcW w:w="7280" w:type="dxa"/>
          </w:tcPr>
          <w:p w14:paraId="621E421E" w14:textId="46CDF02B" w:rsidR="00B17D94" w:rsidRDefault="00754D0D" w:rsidP="00CD1F2E">
            <w:pPr>
              <w:rPr>
                <w:rFonts w:ascii="Avenir Book" w:hAnsi="Avenir Book"/>
              </w:rPr>
            </w:pPr>
            <w:r w:rsidRPr="00754D0D">
              <w:rPr>
                <w:rFonts w:ascii="Avenir Book" w:hAnsi="Avenir Book"/>
              </w:rPr>
              <w:t>Managing risks of hazardous chemicals in the workplace Code of Practice 2013</w:t>
            </w:r>
          </w:p>
        </w:tc>
      </w:tr>
      <w:tr w:rsidR="00B17D94" w14:paraId="17686357" w14:textId="77777777" w:rsidTr="00CD1F2E">
        <w:trPr>
          <w:trHeight w:val="567"/>
        </w:trPr>
        <w:tc>
          <w:tcPr>
            <w:tcW w:w="2122" w:type="dxa"/>
          </w:tcPr>
          <w:p w14:paraId="2301C2D3" w14:textId="77777777" w:rsidR="00B17D94" w:rsidRDefault="00B17D94" w:rsidP="00CD1F2E">
            <w:pPr>
              <w:rPr>
                <w:rFonts w:ascii="Avenir Book" w:hAnsi="Avenir Book"/>
              </w:rPr>
            </w:pPr>
            <w:r>
              <w:rPr>
                <w:rFonts w:ascii="Avenir Book" w:hAnsi="Avenir Book"/>
              </w:rPr>
              <w:t>South Australia</w:t>
            </w:r>
          </w:p>
        </w:tc>
        <w:tc>
          <w:tcPr>
            <w:tcW w:w="7280" w:type="dxa"/>
          </w:tcPr>
          <w:p w14:paraId="159BDC8A" w14:textId="1127BC6B" w:rsidR="00B17D94" w:rsidRDefault="00754D0D" w:rsidP="00CD1F2E">
            <w:pPr>
              <w:rPr>
                <w:rFonts w:ascii="Avenir Book" w:hAnsi="Avenir Book"/>
              </w:rPr>
            </w:pPr>
            <w:r w:rsidRPr="00754D0D">
              <w:rPr>
                <w:rFonts w:ascii="Avenir Book" w:hAnsi="Avenir Book"/>
              </w:rPr>
              <w:t>Managing Risks of Hazardous Chemicals in the Workplace</w:t>
            </w:r>
          </w:p>
        </w:tc>
      </w:tr>
      <w:tr w:rsidR="00B17D94" w14:paraId="4BDF7A73" w14:textId="77777777" w:rsidTr="00CD1F2E">
        <w:trPr>
          <w:trHeight w:val="567"/>
        </w:trPr>
        <w:tc>
          <w:tcPr>
            <w:tcW w:w="2122" w:type="dxa"/>
          </w:tcPr>
          <w:p w14:paraId="1AB7C5D8" w14:textId="77777777" w:rsidR="00B17D94" w:rsidRDefault="00B17D94" w:rsidP="00CD1F2E">
            <w:pPr>
              <w:rPr>
                <w:rFonts w:ascii="Avenir Book" w:hAnsi="Avenir Book"/>
              </w:rPr>
            </w:pPr>
            <w:r>
              <w:rPr>
                <w:rFonts w:ascii="Avenir Book" w:hAnsi="Avenir Book"/>
              </w:rPr>
              <w:lastRenderedPageBreak/>
              <w:t>Tasmania</w:t>
            </w:r>
          </w:p>
        </w:tc>
        <w:tc>
          <w:tcPr>
            <w:tcW w:w="7280" w:type="dxa"/>
          </w:tcPr>
          <w:p w14:paraId="5EB57143" w14:textId="77777777" w:rsidR="00754D0D" w:rsidRDefault="00754D0D" w:rsidP="00CD1F2E">
            <w:pPr>
              <w:rPr>
                <w:rFonts w:ascii="Avenir Book" w:hAnsi="Avenir Book"/>
              </w:rPr>
            </w:pPr>
            <w:r w:rsidRPr="00754D0D">
              <w:rPr>
                <w:rFonts w:ascii="Avenir Book" w:hAnsi="Avenir Book"/>
              </w:rPr>
              <w:t>Code of Practice for Aerial Spraying</w:t>
            </w:r>
          </w:p>
          <w:p w14:paraId="007166BE" w14:textId="77777777" w:rsidR="00754D0D" w:rsidRDefault="00754D0D" w:rsidP="00CD1F2E">
            <w:pPr>
              <w:rPr>
                <w:rFonts w:ascii="Avenir Book" w:hAnsi="Avenir Book"/>
              </w:rPr>
            </w:pPr>
            <w:r w:rsidRPr="00754D0D">
              <w:rPr>
                <w:rFonts w:ascii="Avenir Book" w:hAnsi="Avenir Book"/>
              </w:rPr>
              <w:t>Code of Practice for Ground Spraying</w:t>
            </w:r>
          </w:p>
          <w:p w14:paraId="0014D305" w14:textId="77777777" w:rsidR="00754D0D" w:rsidRDefault="00754D0D" w:rsidP="00CD1F2E">
            <w:pPr>
              <w:rPr>
                <w:rFonts w:ascii="Avenir Book" w:hAnsi="Avenir Book"/>
              </w:rPr>
            </w:pPr>
            <w:r w:rsidRPr="00754D0D">
              <w:rPr>
                <w:rFonts w:ascii="Avenir Book" w:hAnsi="Avenir Book"/>
              </w:rPr>
              <w:t>Code of Practice for Spraying in Public Places</w:t>
            </w:r>
          </w:p>
          <w:p w14:paraId="159D2CC0" w14:textId="77777777" w:rsidR="00754D0D" w:rsidRDefault="00754D0D" w:rsidP="00CD1F2E">
            <w:pPr>
              <w:rPr>
                <w:rFonts w:ascii="Avenir Book" w:hAnsi="Avenir Book"/>
              </w:rPr>
            </w:pPr>
            <w:r w:rsidRPr="00754D0D">
              <w:rPr>
                <w:rFonts w:ascii="Avenir Book" w:hAnsi="Avenir Book"/>
              </w:rPr>
              <w:t>Code of Practice for Spraying in Public Places by means other than aerial spraying.</w:t>
            </w:r>
          </w:p>
          <w:p w14:paraId="172D9CA7" w14:textId="538AF9C7" w:rsidR="00B17D94" w:rsidRDefault="00754D0D" w:rsidP="00CD1F2E">
            <w:pPr>
              <w:rPr>
                <w:rFonts w:ascii="Avenir Book" w:hAnsi="Avenir Book"/>
              </w:rPr>
            </w:pPr>
            <w:r w:rsidRPr="00754D0D">
              <w:rPr>
                <w:rFonts w:ascii="Avenir Book" w:hAnsi="Avenir Book"/>
              </w:rPr>
              <w:t>Code of Practice for the Use of 1080 Poison</w:t>
            </w:r>
          </w:p>
        </w:tc>
      </w:tr>
      <w:tr w:rsidR="00B17D94" w14:paraId="439F0946" w14:textId="77777777" w:rsidTr="00CD1F2E">
        <w:trPr>
          <w:trHeight w:val="567"/>
        </w:trPr>
        <w:tc>
          <w:tcPr>
            <w:tcW w:w="2122" w:type="dxa"/>
          </w:tcPr>
          <w:p w14:paraId="57696811" w14:textId="77777777" w:rsidR="00B17D94" w:rsidRDefault="00B17D94" w:rsidP="00CD1F2E">
            <w:pPr>
              <w:rPr>
                <w:rFonts w:ascii="Avenir Book" w:hAnsi="Avenir Book"/>
              </w:rPr>
            </w:pPr>
            <w:r>
              <w:rPr>
                <w:rFonts w:ascii="Avenir Book" w:hAnsi="Avenir Book"/>
              </w:rPr>
              <w:t>Victoria</w:t>
            </w:r>
          </w:p>
        </w:tc>
        <w:tc>
          <w:tcPr>
            <w:tcW w:w="7280" w:type="dxa"/>
          </w:tcPr>
          <w:p w14:paraId="01CA294C" w14:textId="7E4F7D93" w:rsidR="00B17D94" w:rsidRDefault="00754D0D" w:rsidP="00CD1F2E">
            <w:pPr>
              <w:rPr>
                <w:rFonts w:ascii="Avenir Book" w:hAnsi="Avenir Book"/>
              </w:rPr>
            </w:pPr>
            <w:proofErr w:type="spellStart"/>
            <w:r w:rsidRPr="00754D0D">
              <w:rPr>
                <w:rFonts w:ascii="Avenir Book" w:hAnsi="Avenir Book"/>
              </w:rPr>
              <w:t>AgVet</w:t>
            </w:r>
            <w:proofErr w:type="spellEnd"/>
            <w:r w:rsidRPr="00754D0D">
              <w:rPr>
                <w:rFonts w:ascii="Avenir Book" w:hAnsi="Avenir Book"/>
              </w:rPr>
              <w:t xml:space="preserve"> Code of Victoria</w:t>
            </w:r>
          </w:p>
        </w:tc>
      </w:tr>
      <w:tr w:rsidR="00B17D94" w14:paraId="7344F403" w14:textId="77777777" w:rsidTr="00CD1F2E">
        <w:trPr>
          <w:trHeight w:val="567"/>
        </w:trPr>
        <w:tc>
          <w:tcPr>
            <w:tcW w:w="2122" w:type="dxa"/>
          </w:tcPr>
          <w:p w14:paraId="473392E8" w14:textId="77777777" w:rsidR="00B17D94" w:rsidRDefault="00B17D94" w:rsidP="00CD1F2E">
            <w:pPr>
              <w:rPr>
                <w:rFonts w:ascii="Avenir Book" w:hAnsi="Avenir Book"/>
              </w:rPr>
            </w:pPr>
            <w:r>
              <w:rPr>
                <w:rFonts w:ascii="Avenir Book" w:hAnsi="Avenir Book"/>
              </w:rPr>
              <w:t>Western Australia</w:t>
            </w:r>
          </w:p>
        </w:tc>
        <w:tc>
          <w:tcPr>
            <w:tcW w:w="7280" w:type="dxa"/>
          </w:tcPr>
          <w:p w14:paraId="20979BE9" w14:textId="5FE49789" w:rsidR="00B17D94" w:rsidRDefault="00754D0D" w:rsidP="00CD1F2E">
            <w:pPr>
              <w:rPr>
                <w:rFonts w:ascii="Avenir Book" w:hAnsi="Avenir Book"/>
              </w:rPr>
            </w:pPr>
            <w:r w:rsidRPr="00754D0D">
              <w:rPr>
                <w:rFonts w:ascii="Avenir Book" w:hAnsi="Avenir Book"/>
              </w:rPr>
              <w:t>Code of practice: use of agricultural and veterinary chemicals in WA</w:t>
            </w:r>
          </w:p>
        </w:tc>
      </w:tr>
    </w:tbl>
    <w:p w14:paraId="50C58935" w14:textId="77777777" w:rsidR="00754D0D" w:rsidRPr="005D5A42" w:rsidRDefault="00754D0D" w:rsidP="00754D0D">
      <w:pPr>
        <w:pStyle w:val="BodyTextSI"/>
      </w:pPr>
    </w:p>
    <w:p w14:paraId="452D854E" w14:textId="36D88C0B" w:rsidR="00754D0D" w:rsidRPr="004C421D" w:rsidRDefault="00754D0D" w:rsidP="00754D0D">
      <w:pPr>
        <w:pStyle w:val="Heading4SI"/>
      </w:pPr>
      <w:r>
        <w:t>Codes of practice for pest animals and weeds</w:t>
      </w:r>
    </w:p>
    <w:tbl>
      <w:tblPr>
        <w:tblStyle w:val="TableGrid"/>
        <w:tblW w:w="0" w:type="auto"/>
        <w:tblBorders>
          <w:top w:val="single" w:sz="18" w:space="0" w:color="538135" w:themeColor="accent6" w:themeShade="BF"/>
          <w:left w:val="none" w:sz="0" w:space="0" w:color="auto"/>
          <w:bottom w:val="single" w:sz="4" w:space="0" w:color="538135" w:themeColor="accent6" w:themeShade="BF"/>
          <w:right w:val="none" w:sz="0" w:space="0" w:color="auto"/>
          <w:insideH w:val="single" w:sz="4" w:space="0" w:color="538135" w:themeColor="accent6" w:themeShade="BF"/>
          <w:insideV w:val="none" w:sz="0" w:space="0" w:color="auto"/>
        </w:tblBorders>
        <w:tblLook w:val="04A0" w:firstRow="1" w:lastRow="0" w:firstColumn="1" w:lastColumn="0" w:noHBand="0" w:noVBand="1"/>
      </w:tblPr>
      <w:tblGrid>
        <w:gridCol w:w="2122"/>
        <w:gridCol w:w="7280"/>
      </w:tblGrid>
      <w:tr w:rsidR="00754D0D" w14:paraId="517EAEF2" w14:textId="77777777" w:rsidTr="00CD1F2E">
        <w:trPr>
          <w:trHeight w:val="567"/>
        </w:trPr>
        <w:tc>
          <w:tcPr>
            <w:tcW w:w="2122" w:type="dxa"/>
            <w:tcBorders>
              <w:top w:val="single" w:sz="18" w:space="0" w:color="538135" w:themeColor="accent6" w:themeShade="BF"/>
              <w:bottom w:val="single" w:sz="18" w:space="0" w:color="538135" w:themeColor="accent6" w:themeShade="BF"/>
            </w:tcBorders>
          </w:tcPr>
          <w:p w14:paraId="7E5FCD03" w14:textId="77777777" w:rsidR="00754D0D" w:rsidRPr="00CD1F2E" w:rsidRDefault="00754D0D" w:rsidP="00CD1F2E">
            <w:pPr>
              <w:rPr>
                <w:rFonts w:ascii="Avenir Book" w:hAnsi="Avenir Book"/>
                <w:b/>
                <w:bCs/>
                <w:color w:val="538135" w:themeColor="accent6" w:themeShade="BF"/>
                <w:sz w:val="28"/>
                <w:szCs w:val="28"/>
              </w:rPr>
            </w:pPr>
            <w:r w:rsidRPr="00CD1F2E">
              <w:rPr>
                <w:rFonts w:ascii="Avenir Book" w:hAnsi="Avenir Book"/>
                <w:b/>
                <w:bCs/>
                <w:color w:val="538135" w:themeColor="accent6" w:themeShade="BF"/>
                <w:sz w:val="28"/>
                <w:szCs w:val="28"/>
              </w:rPr>
              <w:t>Context</w:t>
            </w:r>
          </w:p>
        </w:tc>
        <w:tc>
          <w:tcPr>
            <w:tcW w:w="7280" w:type="dxa"/>
            <w:tcBorders>
              <w:top w:val="single" w:sz="18" w:space="0" w:color="538135" w:themeColor="accent6" w:themeShade="BF"/>
              <w:bottom w:val="single" w:sz="18" w:space="0" w:color="538135" w:themeColor="accent6" w:themeShade="BF"/>
            </w:tcBorders>
          </w:tcPr>
          <w:p w14:paraId="3C48D776" w14:textId="77777777" w:rsidR="00754D0D" w:rsidRPr="00CD1F2E" w:rsidRDefault="00754D0D" w:rsidP="00CD1F2E">
            <w:pPr>
              <w:rPr>
                <w:rFonts w:ascii="Avenir Book" w:hAnsi="Avenir Book"/>
                <w:b/>
                <w:bCs/>
                <w:color w:val="538135" w:themeColor="accent6" w:themeShade="BF"/>
                <w:sz w:val="28"/>
                <w:szCs w:val="28"/>
              </w:rPr>
            </w:pPr>
            <w:r w:rsidRPr="00CD1F2E">
              <w:rPr>
                <w:rFonts w:ascii="Avenir Book" w:hAnsi="Avenir Book"/>
                <w:b/>
                <w:bCs/>
                <w:color w:val="538135" w:themeColor="accent6" w:themeShade="BF"/>
                <w:sz w:val="28"/>
                <w:szCs w:val="28"/>
              </w:rPr>
              <w:t>Legislation</w:t>
            </w:r>
          </w:p>
        </w:tc>
      </w:tr>
      <w:tr w:rsidR="00754D0D" w14:paraId="38C1D534" w14:textId="77777777" w:rsidTr="00CD1F2E">
        <w:trPr>
          <w:trHeight w:val="567"/>
        </w:trPr>
        <w:tc>
          <w:tcPr>
            <w:tcW w:w="2122" w:type="dxa"/>
          </w:tcPr>
          <w:p w14:paraId="7087C8CB" w14:textId="77777777" w:rsidR="00754D0D" w:rsidRDefault="00754D0D" w:rsidP="00CD1F2E">
            <w:pPr>
              <w:rPr>
                <w:rFonts w:ascii="Avenir Book" w:hAnsi="Avenir Book"/>
              </w:rPr>
            </w:pPr>
            <w:r>
              <w:rPr>
                <w:rFonts w:ascii="Avenir Book" w:hAnsi="Avenir Book"/>
              </w:rPr>
              <w:t>New South Wales</w:t>
            </w:r>
          </w:p>
        </w:tc>
        <w:tc>
          <w:tcPr>
            <w:tcW w:w="7280" w:type="dxa"/>
          </w:tcPr>
          <w:p w14:paraId="242EF6E1" w14:textId="6359760F" w:rsidR="00754D0D" w:rsidRDefault="00754D0D" w:rsidP="00CD1F2E">
            <w:pPr>
              <w:rPr>
                <w:rFonts w:ascii="Avenir Book" w:hAnsi="Avenir Book"/>
              </w:rPr>
            </w:pPr>
            <w:r w:rsidRPr="00754D0D">
              <w:rPr>
                <w:rFonts w:ascii="Avenir Book" w:hAnsi="Avenir Book"/>
              </w:rPr>
              <w:t>Humane pest animal control: Code of Practice and Standard Operating Procedures</w:t>
            </w:r>
          </w:p>
        </w:tc>
      </w:tr>
      <w:tr w:rsidR="00754D0D" w14:paraId="5CEC0AA4" w14:textId="77777777" w:rsidTr="00CD1F2E">
        <w:trPr>
          <w:trHeight w:val="567"/>
        </w:trPr>
        <w:tc>
          <w:tcPr>
            <w:tcW w:w="2122" w:type="dxa"/>
          </w:tcPr>
          <w:p w14:paraId="0E1B0074" w14:textId="77777777" w:rsidR="00754D0D" w:rsidRDefault="00754D0D" w:rsidP="00CD1F2E">
            <w:pPr>
              <w:rPr>
                <w:rFonts w:ascii="Avenir Book" w:hAnsi="Avenir Book"/>
              </w:rPr>
            </w:pPr>
            <w:r>
              <w:rPr>
                <w:rFonts w:ascii="Avenir Book" w:hAnsi="Avenir Book"/>
              </w:rPr>
              <w:t>Tasmania</w:t>
            </w:r>
          </w:p>
        </w:tc>
        <w:tc>
          <w:tcPr>
            <w:tcW w:w="7280" w:type="dxa"/>
          </w:tcPr>
          <w:p w14:paraId="5656D9BD" w14:textId="6B44C573" w:rsidR="00754D0D" w:rsidRDefault="00754D0D" w:rsidP="00CD1F2E">
            <w:pPr>
              <w:rPr>
                <w:rFonts w:ascii="Avenir Book" w:hAnsi="Avenir Book"/>
              </w:rPr>
            </w:pPr>
            <w:r w:rsidRPr="00754D0D">
              <w:rPr>
                <w:rFonts w:ascii="Avenir Book" w:hAnsi="Avenir Book"/>
              </w:rPr>
              <w:t>Code of Practice for Ground Spraying</w:t>
            </w:r>
          </w:p>
        </w:tc>
      </w:tr>
      <w:tr w:rsidR="00754D0D" w14:paraId="56D37BD6" w14:textId="77777777" w:rsidTr="00CD1F2E">
        <w:trPr>
          <w:trHeight w:val="567"/>
        </w:trPr>
        <w:tc>
          <w:tcPr>
            <w:tcW w:w="2122" w:type="dxa"/>
          </w:tcPr>
          <w:p w14:paraId="66610D64" w14:textId="77777777" w:rsidR="00754D0D" w:rsidRDefault="00754D0D" w:rsidP="00CD1F2E">
            <w:pPr>
              <w:rPr>
                <w:rFonts w:ascii="Avenir Book" w:hAnsi="Avenir Book"/>
              </w:rPr>
            </w:pPr>
            <w:r>
              <w:rPr>
                <w:rFonts w:ascii="Avenir Book" w:hAnsi="Avenir Book"/>
              </w:rPr>
              <w:t>Victoria</w:t>
            </w:r>
          </w:p>
        </w:tc>
        <w:tc>
          <w:tcPr>
            <w:tcW w:w="7280" w:type="dxa"/>
          </w:tcPr>
          <w:p w14:paraId="344BB109" w14:textId="169A3896" w:rsidR="00754D0D" w:rsidRDefault="00754D0D" w:rsidP="00CD1F2E">
            <w:pPr>
              <w:rPr>
                <w:rFonts w:ascii="Avenir Book" w:hAnsi="Avenir Book"/>
              </w:rPr>
            </w:pPr>
            <w:r w:rsidRPr="00754D0D">
              <w:rPr>
                <w:rFonts w:ascii="Avenir Book" w:hAnsi="Avenir Book"/>
              </w:rPr>
              <w:t>Victorian Codes of Practice for Animal Welfare</w:t>
            </w:r>
          </w:p>
        </w:tc>
      </w:tr>
      <w:tr w:rsidR="00754D0D" w14:paraId="6F7AC096" w14:textId="77777777" w:rsidTr="00CD1F2E">
        <w:trPr>
          <w:trHeight w:val="567"/>
        </w:trPr>
        <w:tc>
          <w:tcPr>
            <w:tcW w:w="2122" w:type="dxa"/>
          </w:tcPr>
          <w:p w14:paraId="0A42AB38" w14:textId="77777777" w:rsidR="00754D0D" w:rsidRDefault="00754D0D" w:rsidP="00CD1F2E">
            <w:pPr>
              <w:rPr>
                <w:rFonts w:ascii="Avenir Book" w:hAnsi="Avenir Book"/>
              </w:rPr>
            </w:pPr>
            <w:r>
              <w:rPr>
                <w:rFonts w:ascii="Avenir Book" w:hAnsi="Avenir Book"/>
              </w:rPr>
              <w:t>Western Australia</w:t>
            </w:r>
          </w:p>
        </w:tc>
        <w:tc>
          <w:tcPr>
            <w:tcW w:w="7280" w:type="dxa"/>
          </w:tcPr>
          <w:p w14:paraId="3AAF3B17" w14:textId="71D1D0AA" w:rsidR="00754D0D" w:rsidRDefault="00754D0D" w:rsidP="00CD1F2E">
            <w:pPr>
              <w:rPr>
                <w:rFonts w:ascii="Avenir Book" w:hAnsi="Avenir Book"/>
              </w:rPr>
            </w:pPr>
            <w:r w:rsidRPr="00754D0D">
              <w:rPr>
                <w:rFonts w:ascii="Avenir Book" w:hAnsi="Avenir Book"/>
              </w:rPr>
              <w:t>Code of practice for the use of agricultural and veterinary chemicals in Western Australia</w:t>
            </w:r>
          </w:p>
        </w:tc>
      </w:tr>
    </w:tbl>
    <w:p w14:paraId="1B9429FB" w14:textId="1D2CA61C" w:rsidR="00255FD6" w:rsidRDefault="00255FD6">
      <w:pPr>
        <w:rPr>
          <w:rFonts w:ascii="Avenir Medium" w:eastAsiaTheme="majorEastAsia" w:hAnsi="Avenir Medium" w:cstheme="majorBidi"/>
          <w:b/>
          <w:bCs/>
          <w:color w:val="1E3531"/>
          <w:sz w:val="36"/>
          <w:szCs w:val="36"/>
        </w:rPr>
      </w:pPr>
      <w:r w:rsidRPr="00354DB4">
        <w:rPr>
          <w:rFonts w:ascii="Avenir Book" w:hAnsi="Avenir Book"/>
        </w:rPr>
        <w:br w:type="page"/>
      </w:r>
    </w:p>
    <w:p w14:paraId="6729D021" w14:textId="4A227740" w:rsidR="00C03F7D" w:rsidRDefault="00C03F7D" w:rsidP="00C03F7D">
      <w:pPr>
        <w:pStyle w:val="Heading1SI"/>
      </w:pPr>
      <w:r>
        <w:lastRenderedPageBreak/>
        <w:t>Training Package Components</w:t>
      </w:r>
    </w:p>
    <w:p w14:paraId="7D4814B5" w14:textId="17BD44D1" w:rsidR="007E7C83" w:rsidRDefault="00B93686" w:rsidP="00B93686">
      <w:pPr>
        <w:pStyle w:val="BodyTextSI"/>
      </w:pPr>
      <w:r>
        <w:t xml:space="preserve">Please note the training product codes below are temporary codes used in the draft documents. </w:t>
      </w:r>
      <w:r w:rsidR="00F50A63">
        <w:t>Updated</w:t>
      </w:r>
      <w:r>
        <w:t xml:space="preserve"> codes will be applied </w:t>
      </w:r>
      <w:r w:rsidR="00F50A63">
        <w:t>once the project has moved to finalisation.</w:t>
      </w:r>
    </w:p>
    <w:p w14:paraId="47A4D888" w14:textId="5E0EEA87" w:rsidR="0008014B" w:rsidRDefault="0008014B" w:rsidP="00C03F7D">
      <w:pPr>
        <w:pStyle w:val="Heading3SI"/>
      </w:pPr>
      <w:r>
        <w:t xml:space="preserve">Qualifications </w:t>
      </w:r>
      <w:bookmarkEnd w:id="10"/>
    </w:p>
    <w:tbl>
      <w:tblPr>
        <w:tblW w:w="4943" w:type="pct"/>
        <w:tblInd w:w="108" w:type="dxa"/>
        <w:tblBorders>
          <w:top w:val="single" w:sz="4" w:space="0" w:color="4C7D2C"/>
          <w:bottom w:val="single" w:sz="4" w:space="0" w:color="4C7D2C"/>
          <w:insideH w:val="single" w:sz="4" w:space="0" w:color="4C7D2C"/>
        </w:tblBorders>
        <w:tblLook w:val="04A0" w:firstRow="1" w:lastRow="0" w:firstColumn="1" w:lastColumn="0" w:noHBand="0" w:noVBand="1"/>
      </w:tblPr>
      <w:tblGrid>
        <w:gridCol w:w="1281"/>
        <w:gridCol w:w="4012"/>
        <w:gridCol w:w="4012"/>
      </w:tblGrid>
      <w:tr w:rsidR="00834E54" w:rsidRPr="00923A56" w14:paraId="35CB3060" w14:textId="79D758A2" w:rsidTr="00834E54">
        <w:trPr>
          <w:trHeight w:val="525"/>
          <w:tblHeader/>
        </w:trPr>
        <w:tc>
          <w:tcPr>
            <w:tcW w:w="688" w:type="pct"/>
            <w:tcBorders>
              <w:top w:val="single" w:sz="18" w:space="0" w:color="4C7D2C"/>
              <w:bottom w:val="single" w:sz="18" w:space="0" w:color="4C7D2C"/>
            </w:tcBorders>
          </w:tcPr>
          <w:p w14:paraId="1A13BE30" w14:textId="77777777" w:rsidR="00834E54" w:rsidRPr="00923A56" w:rsidRDefault="00834E54" w:rsidP="00A55E66">
            <w:pPr>
              <w:spacing w:before="200" w:after="200"/>
              <w:rPr>
                <w:rFonts w:ascii="Avenir Book" w:eastAsia="Avenir Next LT Pro" w:hAnsi="Avenir Book" w:cs="Times New Roman"/>
                <w:b/>
                <w:bCs/>
                <w:color w:val="4C7D2C"/>
              </w:rPr>
            </w:pPr>
            <w:r w:rsidRPr="00923A56">
              <w:rPr>
                <w:rFonts w:ascii="Avenir Book" w:eastAsia="Avenir Next LT Pro" w:hAnsi="Avenir Book" w:cs="Times New Roman"/>
                <w:b/>
                <w:bCs/>
                <w:color w:val="4C7D2C"/>
              </w:rPr>
              <w:t>Code</w:t>
            </w:r>
          </w:p>
        </w:tc>
        <w:tc>
          <w:tcPr>
            <w:tcW w:w="2156" w:type="pct"/>
            <w:tcBorders>
              <w:top w:val="single" w:sz="18" w:space="0" w:color="4C7D2C"/>
              <w:bottom w:val="single" w:sz="18" w:space="0" w:color="4C7D2C"/>
            </w:tcBorders>
          </w:tcPr>
          <w:p w14:paraId="0273F6AE" w14:textId="77777777" w:rsidR="00834E54" w:rsidRPr="00923A56" w:rsidRDefault="00834E54" w:rsidP="00A55E66">
            <w:pPr>
              <w:spacing w:before="200" w:after="200"/>
              <w:rPr>
                <w:rFonts w:ascii="Avenir Book" w:eastAsia="Avenir Next LT Pro" w:hAnsi="Avenir Book" w:cs="Times New Roman"/>
                <w:b/>
                <w:bCs/>
                <w:color w:val="4C7D2C"/>
              </w:rPr>
            </w:pPr>
            <w:r w:rsidRPr="00923A56">
              <w:rPr>
                <w:rFonts w:ascii="Avenir Book" w:eastAsia="Avenir Next LT Pro" w:hAnsi="Avenir Book" w:cs="Times New Roman"/>
                <w:b/>
                <w:bCs/>
                <w:color w:val="4C7D2C"/>
              </w:rPr>
              <w:t>Title</w:t>
            </w:r>
          </w:p>
        </w:tc>
        <w:tc>
          <w:tcPr>
            <w:tcW w:w="2156" w:type="pct"/>
            <w:tcBorders>
              <w:top w:val="single" w:sz="18" w:space="0" w:color="4C7D2C"/>
              <w:bottom w:val="single" w:sz="18" w:space="0" w:color="4C7D2C"/>
            </w:tcBorders>
          </w:tcPr>
          <w:p w14:paraId="55704559" w14:textId="31F2F3A4" w:rsidR="00834E54" w:rsidRPr="00923A56" w:rsidRDefault="00834E54" w:rsidP="00A55E66">
            <w:pPr>
              <w:spacing w:before="200" w:after="200"/>
              <w:rPr>
                <w:rFonts w:ascii="Avenir Book" w:eastAsia="Avenir Next LT Pro" w:hAnsi="Avenir Book" w:cs="Times New Roman"/>
                <w:b/>
                <w:bCs/>
                <w:color w:val="4C7D2C"/>
              </w:rPr>
            </w:pPr>
            <w:r>
              <w:rPr>
                <w:rFonts w:ascii="Avenir Book" w:eastAsia="Avenir Next LT Pro" w:hAnsi="Avenir Book" w:cs="Times New Roman"/>
                <w:b/>
                <w:bCs/>
                <w:color w:val="4C7D2C"/>
              </w:rPr>
              <w:t>Purpose</w:t>
            </w:r>
          </w:p>
        </w:tc>
      </w:tr>
      <w:tr w:rsidR="008C2B45" w:rsidRPr="00923A56" w14:paraId="1AD1CAF8" w14:textId="567C21CC" w:rsidTr="00834E54">
        <w:trPr>
          <w:trHeight w:val="315"/>
        </w:trPr>
        <w:tc>
          <w:tcPr>
            <w:tcW w:w="688" w:type="pct"/>
          </w:tcPr>
          <w:p w14:paraId="4F0BB170" w14:textId="413AE270" w:rsidR="008C2B45" w:rsidRPr="00923A56" w:rsidRDefault="008C2B45" w:rsidP="008C2B45">
            <w:pPr>
              <w:spacing w:before="200" w:after="240"/>
              <w:ind w:left="57"/>
              <w:rPr>
                <w:rFonts w:ascii="Avenir Book" w:eastAsia="Avenir Next LT Pro" w:hAnsi="Avenir Book" w:cs="Times New Roman"/>
                <w:color w:val="1E3531"/>
                <w:w w:val="105"/>
                <w:sz w:val="21"/>
                <w:szCs w:val="21"/>
              </w:rPr>
            </w:pPr>
            <w:r>
              <w:rPr>
                <w:rFonts w:ascii="Avenir Book" w:eastAsia="Avenir Next LT Pro" w:hAnsi="Avenir Book" w:cs="Times New Roman"/>
                <w:color w:val="1E3531"/>
                <w:w w:val="105"/>
                <w:sz w:val="21"/>
                <w:szCs w:val="21"/>
              </w:rPr>
              <w:t>AHC3XX27</w:t>
            </w:r>
          </w:p>
        </w:tc>
        <w:tc>
          <w:tcPr>
            <w:tcW w:w="2156" w:type="pct"/>
          </w:tcPr>
          <w:p w14:paraId="0EA2E903" w14:textId="0B0DB124" w:rsidR="008C2B45" w:rsidRPr="00923A56" w:rsidRDefault="008C2B45" w:rsidP="008C2B45">
            <w:pPr>
              <w:spacing w:before="200" w:after="240"/>
              <w:ind w:left="57"/>
              <w:rPr>
                <w:rFonts w:ascii="Avenir Book" w:eastAsia="Avenir Next LT Pro" w:hAnsi="Avenir Book" w:cs="Times New Roman"/>
                <w:color w:val="1E3531"/>
                <w:w w:val="105"/>
                <w:sz w:val="21"/>
                <w:szCs w:val="21"/>
              </w:rPr>
            </w:pPr>
            <w:r>
              <w:rPr>
                <w:rFonts w:ascii="Avenir Book" w:eastAsia="Avenir Next LT Pro" w:hAnsi="Avenir Book" w:cs="Times New Roman"/>
                <w:color w:val="1E3531"/>
                <w:w w:val="105"/>
                <w:sz w:val="21"/>
                <w:szCs w:val="21"/>
              </w:rPr>
              <w:t>Certificate III in Agricultural Production</w:t>
            </w:r>
          </w:p>
        </w:tc>
        <w:tc>
          <w:tcPr>
            <w:tcW w:w="2156" w:type="pct"/>
          </w:tcPr>
          <w:p w14:paraId="73296653" w14:textId="77777777" w:rsidR="008C2B45" w:rsidRPr="00923A56" w:rsidRDefault="008C2B45" w:rsidP="008C2B45">
            <w:pPr>
              <w:spacing w:before="200" w:after="240"/>
              <w:ind w:left="57"/>
              <w:rPr>
                <w:rFonts w:ascii="Avenir Book" w:eastAsia="Avenir Next LT Pro" w:hAnsi="Avenir Book" w:cs="Times New Roman"/>
                <w:color w:val="1E3531"/>
                <w:w w:val="105"/>
                <w:sz w:val="21"/>
                <w:szCs w:val="21"/>
              </w:rPr>
            </w:pPr>
          </w:p>
        </w:tc>
      </w:tr>
    </w:tbl>
    <w:p w14:paraId="3C5EC136" w14:textId="77777777" w:rsidR="00C03F7D" w:rsidRDefault="00C03F7D" w:rsidP="00F50A63">
      <w:pPr>
        <w:pStyle w:val="BodyTextSI"/>
      </w:pPr>
      <w:bookmarkStart w:id="17" w:name="_Toc144980743"/>
    </w:p>
    <w:p w14:paraId="47C4870F" w14:textId="1A270637" w:rsidR="0008014B" w:rsidRDefault="0008014B" w:rsidP="00C03F7D">
      <w:pPr>
        <w:pStyle w:val="Heading3SI"/>
        <w:rPr>
          <w:rFonts w:eastAsia="Times New Roman"/>
        </w:rPr>
      </w:pPr>
      <w:bookmarkStart w:id="18" w:name="_Toc144980744"/>
      <w:bookmarkEnd w:id="17"/>
      <w:r w:rsidRPr="00923A56">
        <w:rPr>
          <w:rFonts w:eastAsia="Times New Roman"/>
        </w:rPr>
        <w:t xml:space="preserve">Units of competency </w:t>
      </w:r>
      <w:bookmarkEnd w:id="18"/>
    </w:p>
    <w:tbl>
      <w:tblPr>
        <w:tblW w:w="9005" w:type="dxa"/>
        <w:tblInd w:w="175" w:type="dxa"/>
        <w:tblBorders>
          <w:top w:val="single" w:sz="4" w:space="0" w:color="4C7D2C"/>
          <w:bottom w:val="single" w:sz="4" w:space="0" w:color="4C7D2C"/>
          <w:insideH w:val="single" w:sz="4" w:space="0" w:color="4C7D2C"/>
        </w:tblBorders>
        <w:tblLook w:val="04A0" w:firstRow="1" w:lastRow="0" w:firstColumn="1" w:lastColumn="0" w:noHBand="0" w:noVBand="1"/>
      </w:tblPr>
      <w:tblGrid>
        <w:gridCol w:w="2193"/>
        <w:gridCol w:w="6812"/>
      </w:tblGrid>
      <w:tr w:rsidR="0008014B" w:rsidRPr="00BE1106" w14:paraId="3DD9ABCE" w14:textId="77777777" w:rsidTr="00F84D09">
        <w:trPr>
          <w:cantSplit/>
          <w:trHeight w:val="20"/>
          <w:tblHeader/>
        </w:trPr>
        <w:tc>
          <w:tcPr>
            <w:tcW w:w="2193" w:type="dxa"/>
            <w:tcBorders>
              <w:top w:val="single" w:sz="18" w:space="0" w:color="4C7D2C"/>
              <w:bottom w:val="single" w:sz="18" w:space="0" w:color="4C7D2C"/>
            </w:tcBorders>
            <w:vAlign w:val="bottom"/>
            <w:hideMark/>
          </w:tcPr>
          <w:p w14:paraId="597E2676" w14:textId="77777777" w:rsidR="0008014B" w:rsidRPr="00BE1106" w:rsidRDefault="0008014B" w:rsidP="00A55E66">
            <w:pPr>
              <w:spacing w:before="200" w:after="200"/>
              <w:rPr>
                <w:rFonts w:ascii="Avenir Book" w:eastAsia="Avenir Next LT Pro" w:hAnsi="Avenir Book" w:cs="Times New Roman"/>
                <w:b/>
                <w:bCs/>
                <w:color w:val="4C7D2C"/>
              </w:rPr>
            </w:pPr>
            <w:r w:rsidRPr="00BE1106">
              <w:rPr>
                <w:rFonts w:ascii="Avenir Book" w:eastAsia="Avenir Next LT Pro" w:hAnsi="Avenir Book" w:cs="Times New Roman"/>
                <w:b/>
                <w:bCs/>
                <w:color w:val="4C7D2C"/>
              </w:rPr>
              <w:t>Code</w:t>
            </w:r>
          </w:p>
        </w:tc>
        <w:tc>
          <w:tcPr>
            <w:tcW w:w="6812" w:type="dxa"/>
            <w:tcBorders>
              <w:top w:val="single" w:sz="18" w:space="0" w:color="4C7D2C"/>
              <w:bottom w:val="single" w:sz="18" w:space="0" w:color="4C7D2C"/>
            </w:tcBorders>
            <w:vAlign w:val="bottom"/>
            <w:hideMark/>
          </w:tcPr>
          <w:p w14:paraId="579658CE" w14:textId="77777777" w:rsidR="0008014B" w:rsidRPr="00BE1106" w:rsidRDefault="0008014B" w:rsidP="00A55E66">
            <w:pPr>
              <w:spacing w:before="200" w:after="200"/>
              <w:rPr>
                <w:rFonts w:ascii="Avenir Book" w:eastAsia="Avenir Next LT Pro" w:hAnsi="Avenir Book" w:cs="Times New Roman"/>
                <w:b/>
                <w:bCs/>
                <w:color w:val="4C7D2C"/>
              </w:rPr>
            </w:pPr>
            <w:r w:rsidRPr="00BE1106">
              <w:rPr>
                <w:rFonts w:ascii="Avenir Book" w:eastAsia="Avenir Next LT Pro" w:hAnsi="Avenir Book" w:cs="Times New Roman"/>
                <w:b/>
                <w:bCs/>
                <w:color w:val="4C7D2C"/>
              </w:rPr>
              <w:t>Title</w:t>
            </w:r>
          </w:p>
        </w:tc>
      </w:tr>
      <w:tr w:rsidR="008C2B45" w:rsidRPr="00BE1106" w14:paraId="01AB79CE" w14:textId="77777777" w:rsidTr="0096509A">
        <w:trPr>
          <w:trHeight w:val="315"/>
        </w:trPr>
        <w:tc>
          <w:tcPr>
            <w:tcW w:w="2193" w:type="dxa"/>
            <w:tcBorders>
              <w:top w:val="single" w:sz="18" w:space="0" w:color="4C7D2C"/>
            </w:tcBorders>
          </w:tcPr>
          <w:p w14:paraId="62A0D6ED" w14:textId="49AAF8F6" w:rsidR="008C2B45" w:rsidRPr="00BE1106" w:rsidRDefault="008C2B45" w:rsidP="008C2B45">
            <w:pPr>
              <w:pStyle w:val="SITableBody"/>
              <w:rPr>
                <w:rFonts w:eastAsia="Avenir Next LT Pro" w:cs="Times New Roman"/>
              </w:rPr>
            </w:pPr>
            <w:r>
              <w:rPr>
                <w:rFonts w:eastAsia="Avenir Next LT Pro" w:cs="Times New Roman"/>
              </w:rPr>
              <w:t>AHCSOL3X</w:t>
            </w:r>
            <w:r w:rsidR="00656EAC">
              <w:rPr>
                <w:rFonts w:eastAsia="Avenir Next LT Pro" w:cs="Times New Roman"/>
              </w:rPr>
              <w:t>0</w:t>
            </w:r>
            <w:r>
              <w:rPr>
                <w:rFonts w:eastAsia="Avenir Next LT Pro" w:cs="Times New Roman"/>
              </w:rPr>
              <w:t>1</w:t>
            </w:r>
          </w:p>
        </w:tc>
        <w:tc>
          <w:tcPr>
            <w:tcW w:w="6812" w:type="dxa"/>
            <w:tcBorders>
              <w:top w:val="single" w:sz="18" w:space="0" w:color="4C7D2C"/>
            </w:tcBorders>
          </w:tcPr>
          <w:p w14:paraId="4F621AD0" w14:textId="279C1083" w:rsidR="008C2B45" w:rsidRPr="00BE1106" w:rsidRDefault="008C2B45" w:rsidP="008C2B45">
            <w:pPr>
              <w:pStyle w:val="SITableBody"/>
              <w:rPr>
                <w:rFonts w:eastAsia="Avenir Next LT Pro" w:cs="Times New Roman"/>
              </w:rPr>
            </w:pPr>
            <w:r>
              <w:rPr>
                <w:rFonts w:eastAsia="Avenir Next LT Pro" w:cs="Times New Roman"/>
              </w:rPr>
              <w:t>Implement an agricultural soil management program</w:t>
            </w:r>
          </w:p>
        </w:tc>
      </w:tr>
      <w:tr w:rsidR="008C2B45" w:rsidRPr="00BE1106" w14:paraId="4AD6827C" w14:textId="77777777" w:rsidTr="00F84D09">
        <w:trPr>
          <w:trHeight w:val="315"/>
        </w:trPr>
        <w:tc>
          <w:tcPr>
            <w:tcW w:w="2193" w:type="dxa"/>
            <w:tcBorders>
              <w:top w:val="single" w:sz="4" w:space="0" w:color="4C7D2C"/>
            </w:tcBorders>
          </w:tcPr>
          <w:p w14:paraId="2F858595" w14:textId="3F1DCFE2" w:rsidR="008C2B45" w:rsidRDefault="008C2B45" w:rsidP="008C2B45">
            <w:pPr>
              <w:pStyle w:val="SITableBody"/>
              <w:rPr>
                <w:rFonts w:eastAsia="Avenir Next LT Pro" w:cs="Times New Roman"/>
              </w:rPr>
            </w:pPr>
            <w:r>
              <w:rPr>
                <w:rFonts w:eastAsia="Avenir Next LT Pro" w:cs="Times New Roman"/>
              </w:rPr>
              <w:t>AHCTEC3X</w:t>
            </w:r>
            <w:r w:rsidR="00656EAC">
              <w:rPr>
                <w:rFonts w:eastAsia="Avenir Next LT Pro" w:cs="Times New Roman"/>
              </w:rPr>
              <w:t>0</w:t>
            </w:r>
            <w:r>
              <w:rPr>
                <w:rFonts w:eastAsia="Avenir Next LT Pro" w:cs="Times New Roman"/>
              </w:rPr>
              <w:t>1</w:t>
            </w:r>
          </w:p>
        </w:tc>
        <w:tc>
          <w:tcPr>
            <w:tcW w:w="6812" w:type="dxa"/>
            <w:tcBorders>
              <w:top w:val="single" w:sz="4" w:space="0" w:color="4C7D2C"/>
            </w:tcBorders>
          </w:tcPr>
          <w:p w14:paraId="30626C03" w14:textId="3F483325" w:rsidR="008C2B45" w:rsidRDefault="008C2B45" w:rsidP="008C2B45">
            <w:pPr>
              <w:pStyle w:val="SITableBody"/>
              <w:rPr>
                <w:rFonts w:eastAsia="Avenir Next LT Pro" w:cs="Times New Roman"/>
              </w:rPr>
            </w:pPr>
            <w:r>
              <w:rPr>
                <w:rFonts w:eastAsia="Avenir Next LT Pro" w:cs="Times New Roman"/>
              </w:rPr>
              <w:t>Operate and monitor agricultural production data information technology</w:t>
            </w:r>
          </w:p>
        </w:tc>
      </w:tr>
      <w:tr w:rsidR="008C2B45" w:rsidRPr="00BE1106" w14:paraId="0F86C38C" w14:textId="77777777" w:rsidTr="00F84D09">
        <w:trPr>
          <w:trHeight w:val="315"/>
        </w:trPr>
        <w:tc>
          <w:tcPr>
            <w:tcW w:w="2193" w:type="dxa"/>
            <w:tcBorders>
              <w:top w:val="single" w:sz="4" w:space="0" w:color="4C7D2C"/>
            </w:tcBorders>
          </w:tcPr>
          <w:p w14:paraId="5FF10763" w14:textId="75BCD4C2" w:rsidR="008C2B45" w:rsidRDefault="008C2B45" w:rsidP="008C2B45">
            <w:pPr>
              <w:pStyle w:val="SITableBody"/>
              <w:rPr>
                <w:rFonts w:eastAsia="Avenir Next LT Pro" w:cs="Times New Roman"/>
              </w:rPr>
            </w:pPr>
            <w:r>
              <w:rPr>
                <w:rFonts w:eastAsia="Avenir Next LT Pro" w:cs="Times New Roman"/>
              </w:rPr>
              <w:t>AHCTEC3X</w:t>
            </w:r>
            <w:r w:rsidR="00656EAC">
              <w:rPr>
                <w:rFonts w:eastAsia="Avenir Next LT Pro" w:cs="Times New Roman"/>
              </w:rPr>
              <w:t>0</w:t>
            </w:r>
            <w:r>
              <w:rPr>
                <w:rFonts w:eastAsia="Avenir Next LT Pro" w:cs="Times New Roman"/>
              </w:rPr>
              <w:t>2</w:t>
            </w:r>
          </w:p>
        </w:tc>
        <w:tc>
          <w:tcPr>
            <w:tcW w:w="6812" w:type="dxa"/>
            <w:tcBorders>
              <w:top w:val="single" w:sz="4" w:space="0" w:color="4C7D2C"/>
            </w:tcBorders>
          </w:tcPr>
          <w:p w14:paraId="3CB53A34" w14:textId="210FD001" w:rsidR="008C2B45" w:rsidRDefault="008C2B45" w:rsidP="008C2B45">
            <w:pPr>
              <w:pStyle w:val="SITableBody"/>
              <w:rPr>
                <w:rFonts w:eastAsia="Avenir Next LT Pro" w:cs="Times New Roman"/>
              </w:rPr>
            </w:pPr>
            <w:r>
              <w:rPr>
                <w:rFonts w:eastAsia="Avenir Next LT Pro" w:cs="Times New Roman"/>
              </w:rPr>
              <w:t>Identify and recommend agricultural production system technology</w:t>
            </w:r>
          </w:p>
        </w:tc>
      </w:tr>
    </w:tbl>
    <w:p w14:paraId="6453C959" w14:textId="77777777" w:rsidR="00834E54" w:rsidRDefault="00834E54" w:rsidP="00834E54">
      <w:pPr>
        <w:pStyle w:val="BodyTextSI"/>
      </w:pPr>
      <w:bookmarkStart w:id="19" w:name="_Toc144980746"/>
      <w:bookmarkStart w:id="20" w:name="_Toc144980747"/>
      <w:bookmarkStart w:id="21" w:name="_Toc129789846"/>
      <w:bookmarkStart w:id="22" w:name="_Toc129789869"/>
      <w:bookmarkStart w:id="23" w:name="_Toc133998578"/>
      <w:bookmarkStart w:id="24" w:name="_Toc133998675"/>
      <w:bookmarkStart w:id="25" w:name="_Toc133998864"/>
    </w:p>
    <w:p w14:paraId="3A78B5D4" w14:textId="50799B9D" w:rsidR="0008014B" w:rsidRPr="00F3721B" w:rsidRDefault="0008014B" w:rsidP="00C03F7D">
      <w:pPr>
        <w:pStyle w:val="Heading3SI"/>
        <w:rPr>
          <w:rFonts w:eastAsia="Times New Roman"/>
        </w:rPr>
      </w:pPr>
      <w:r w:rsidRPr="00F3721B">
        <w:rPr>
          <w:rFonts w:eastAsia="Times New Roman"/>
        </w:rPr>
        <w:t>Units of competency with pre-requisites</w:t>
      </w:r>
      <w:bookmarkEnd w:id="19"/>
      <w:r w:rsidRPr="00F3721B">
        <w:rPr>
          <w:rFonts w:eastAsia="Times New Roman"/>
        </w:rPr>
        <w:t xml:space="preserve"> </w:t>
      </w:r>
    </w:p>
    <w:tbl>
      <w:tblPr>
        <w:tblW w:w="4832" w:type="pct"/>
        <w:tblInd w:w="108" w:type="dxa"/>
        <w:tblBorders>
          <w:top w:val="single" w:sz="4" w:space="0" w:color="4C7D2C"/>
          <w:bottom w:val="single" w:sz="4" w:space="0" w:color="4C7D2C"/>
          <w:insideH w:val="single" w:sz="4" w:space="0" w:color="4C7D2C"/>
        </w:tblBorders>
        <w:tblLayout w:type="fixed"/>
        <w:tblLook w:val="04A0" w:firstRow="1" w:lastRow="0" w:firstColumn="1" w:lastColumn="0" w:noHBand="0" w:noVBand="1"/>
      </w:tblPr>
      <w:tblGrid>
        <w:gridCol w:w="3582"/>
        <w:gridCol w:w="5514"/>
      </w:tblGrid>
      <w:tr w:rsidR="00EB6CF4" w:rsidRPr="00923A56" w14:paraId="1062F096" w14:textId="77777777" w:rsidTr="00F84D09">
        <w:trPr>
          <w:trHeight w:val="20"/>
          <w:tblHeader/>
        </w:trPr>
        <w:tc>
          <w:tcPr>
            <w:tcW w:w="1969" w:type="pct"/>
            <w:tcBorders>
              <w:top w:val="single" w:sz="18" w:space="0" w:color="4C7D2C"/>
              <w:bottom w:val="single" w:sz="18" w:space="0" w:color="4C7D2C"/>
            </w:tcBorders>
          </w:tcPr>
          <w:p w14:paraId="233030BC" w14:textId="268E2216" w:rsidR="00EB6CF4" w:rsidRPr="00923A56" w:rsidRDefault="00EB6CF4" w:rsidP="00EC74A6">
            <w:pPr>
              <w:spacing w:before="200" w:after="200"/>
              <w:rPr>
                <w:rFonts w:ascii="Avenir Book" w:eastAsia="Avenir Next LT Pro" w:hAnsi="Avenir Book" w:cs="Times New Roman"/>
                <w:b/>
                <w:bCs/>
                <w:color w:val="4C7D2C"/>
              </w:rPr>
            </w:pPr>
            <w:r w:rsidRPr="00923A56">
              <w:rPr>
                <w:rFonts w:ascii="Avenir Book" w:eastAsia="Avenir Next LT Pro" w:hAnsi="Avenir Book" w:cs="Times New Roman"/>
                <w:b/>
                <w:bCs/>
                <w:color w:val="4C7D2C"/>
              </w:rPr>
              <w:t>Unit code</w:t>
            </w:r>
            <w:r>
              <w:rPr>
                <w:rFonts w:ascii="Avenir Book" w:eastAsia="Avenir Next LT Pro" w:hAnsi="Avenir Book" w:cs="Times New Roman"/>
                <w:b/>
                <w:bCs/>
                <w:color w:val="4C7D2C"/>
              </w:rPr>
              <w:t xml:space="preserve"> and title</w:t>
            </w:r>
          </w:p>
        </w:tc>
        <w:tc>
          <w:tcPr>
            <w:tcW w:w="3031" w:type="pct"/>
            <w:tcBorders>
              <w:top w:val="single" w:sz="18" w:space="0" w:color="4C7D2C"/>
              <w:bottom w:val="single" w:sz="18" w:space="0" w:color="4C7D2C"/>
            </w:tcBorders>
          </w:tcPr>
          <w:p w14:paraId="0ACA5D1E" w14:textId="74997FA8" w:rsidR="00EB6CF4" w:rsidRPr="00923A56" w:rsidRDefault="00EB6CF4" w:rsidP="00EC74A6">
            <w:pPr>
              <w:spacing w:before="200" w:after="200"/>
              <w:rPr>
                <w:rFonts w:ascii="Avenir Book" w:eastAsia="Avenir Next LT Pro" w:hAnsi="Avenir Book" w:cs="Times New Roman"/>
                <w:b/>
                <w:bCs/>
                <w:color w:val="4C7D2C"/>
              </w:rPr>
            </w:pPr>
            <w:r>
              <w:rPr>
                <w:rFonts w:ascii="Avenir Book" w:eastAsia="Avenir Next LT Pro" w:hAnsi="Avenir Book" w:cs="Times New Roman"/>
                <w:b/>
                <w:bCs/>
                <w:color w:val="4C7D2C"/>
              </w:rPr>
              <w:t>Pre-requisite unit code and title</w:t>
            </w:r>
          </w:p>
        </w:tc>
      </w:tr>
      <w:tr w:rsidR="00EB6CF4" w:rsidRPr="00923A56" w14:paraId="51B20747" w14:textId="77777777" w:rsidTr="00F84D09">
        <w:trPr>
          <w:trHeight w:val="20"/>
        </w:trPr>
        <w:tc>
          <w:tcPr>
            <w:tcW w:w="1969" w:type="pct"/>
          </w:tcPr>
          <w:p w14:paraId="3EB4762C" w14:textId="1AAA6012" w:rsidR="00EB6CF4" w:rsidRPr="00923A56" w:rsidRDefault="008C2B45" w:rsidP="00EC74A6">
            <w:pPr>
              <w:pStyle w:val="SITableBody"/>
            </w:pPr>
            <w:r>
              <w:t>AHCLSK235 Ride educated horses to carry out basic stock work</w:t>
            </w:r>
          </w:p>
        </w:tc>
        <w:tc>
          <w:tcPr>
            <w:tcW w:w="3031" w:type="pct"/>
          </w:tcPr>
          <w:p w14:paraId="2C263AFF" w14:textId="46890411" w:rsidR="00EB6CF4" w:rsidRPr="00923A56" w:rsidRDefault="008C2B45" w:rsidP="00EC74A6">
            <w:pPr>
              <w:pStyle w:val="SITableBody"/>
            </w:pPr>
            <w:r>
              <w:t>AHCLSK236 Handle horses safely for stock work</w:t>
            </w:r>
          </w:p>
        </w:tc>
      </w:tr>
    </w:tbl>
    <w:p w14:paraId="3B39A789" w14:textId="236B3C20" w:rsidR="0008014B" w:rsidRPr="00F3721B" w:rsidRDefault="00A12134" w:rsidP="00C03F7D">
      <w:pPr>
        <w:pStyle w:val="Heading3SI"/>
        <w:rPr>
          <w:rFonts w:eastAsia="Times New Roman"/>
        </w:rPr>
      </w:pPr>
      <w:r>
        <w:rPr>
          <w:rFonts w:eastAsia="Times New Roman"/>
        </w:rPr>
        <w:t>Training Products</w:t>
      </w:r>
      <w:r w:rsidR="0008014B" w:rsidRPr="00F3721B">
        <w:rPr>
          <w:rFonts w:eastAsia="Times New Roman"/>
        </w:rPr>
        <w:t xml:space="preserve"> with </w:t>
      </w:r>
      <w:r w:rsidR="0008014B">
        <w:rPr>
          <w:rFonts w:eastAsia="Times New Roman"/>
        </w:rPr>
        <w:t>Mandatory Workplace Requirements</w:t>
      </w:r>
      <w:r w:rsidR="0008014B" w:rsidRPr="00F3721B">
        <w:rPr>
          <w:rFonts w:eastAsia="Times New Roman"/>
        </w:rPr>
        <w:t xml:space="preserve"> </w:t>
      </w:r>
    </w:p>
    <w:p w14:paraId="0CDC73FC" w14:textId="401531B7" w:rsidR="00EB6CF4" w:rsidRDefault="00EB6CF4" w:rsidP="00EB6CF4">
      <w:pPr>
        <w:pStyle w:val="BodyTextSI"/>
      </w:pPr>
      <w:r w:rsidRPr="0096509A">
        <w:t xml:space="preserve">Not applicable for </w:t>
      </w:r>
      <w:r w:rsidR="009556D2">
        <w:t>Agriculture Trade Qualification</w:t>
      </w:r>
      <w:r w:rsidR="009556D2" w:rsidRPr="0096509A">
        <w:t xml:space="preserve"> </w:t>
      </w:r>
      <w:r w:rsidRPr="0096509A">
        <w:t>training products</w:t>
      </w:r>
    </w:p>
    <w:p w14:paraId="65BBE5C0" w14:textId="3A426C50" w:rsidR="00A12134" w:rsidRPr="00F3721B" w:rsidRDefault="00A12134" w:rsidP="00A12134">
      <w:pPr>
        <w:pStyle w:val="Heading3SI"/>
        <w:rPr>
          <w:rFonts w:eastAsia="Times New Roman"/>
        </w:rPr>
      </w:pPr>
      <w:r>
        <w:rPr>
          <w:rFonts w:eastAsia="Times New Roman"/>
        </w:rPr>
        <w:lastRenderedPageBreak/>
        <w:t>Training Products</w:t>
      </w:r>
      <w:r w:rsidRPr="00F3721B">
        <w:rPr>
          <w:rFonts w:eastAsia="Times New Roman"/>
        </w:rPr>
        <w:t xml:space="preserve"> with </w:t>
      </w:r>
      <w:r w:rsidR="00455F02">
        <w:rPr>
          <w:rFonts w:eastAsia="Times New Roman"/>
        </w:rPr>
        <w:t>l</w:t>
      </w:r>
      <w:r>
        <w:rPr>
          <w:rFonts w:eastAsia="Times New Roman"/>
        </w:rPr>
        <w:t xml:space="preserve">icensing, </w:t>
      </w:r>
      <w:r w:rsidR="009778AB" w:rsidRPr="00F1526E">
        <w:t>regulatory or legislative implications</w:t>
      </w:r>
    </w:p>
    <w:p w14:paraId="4560C69F" w14:textId="4452C43C" w:rsidR="00A12134" w:rsidRDefault="00A12134" w:rsidP="00A12134">
      <w:pPr>
        <w:pStyle w:val="BodyTextSI"/>
      </w:pPr>
      <w:r w:rsidRPr="0096509A">
        <w:t xml:space="preserve">Not applicable for </w:t>
      </w:r>
      <w:r w:rsidR="00705188">
        <w:t>Agricultural Trade Qualification</w:t>
      </w:r>
      <w:r w:rsidRPr="0096509A">
        <w:t xml:space="preserve"> training products</w:t>
      </w:r>
    </w:p>
    <w:p w14:paraId="54245721" w14:textId="5ED2F48E" w:rsidR="009A7CC3" w:rsidRPr="00F3721B" w:rsidRDefault="009A7CC3" w:rsidP="009A7CC3">
      <w:pPr>
        <w:pStyle w:val="Heading3SI"/>
        <w:rPr>
          <w:rFonts w:eastAsia="Times New Roman"/>
        </w:rPr>
      </w:pPr>
      <w:r>
        <w:rPr>
          <w:rFonts w:eastAsia="Times New Roman"/>
        </w:rPr>
        <w:t>Imported units of competency</w:t>
      </w:r>
    </w:p>
    <w:tbl>
      <w:tblPr>
        <w:tblW w:w="4943" w:type="pct"/>
        <w:tblInd w:w="108" w:type="dxa"/>
        <w:tblBorders>
          <w:top w:val="single" w:sz="4" w:space="0" w:color="4C7D2C"/>
          <w:bottom w:val="single" w:sz="4" w:space="0" w:color="4C7D2C"/>
          <w:insideH w:val="single" w:sz="4" w:space="0" w:color="4C7D2C"/>
        </w:tblBorders>
        <w:tblLayout w:type="fixed"/>
        <w:tblLook w:val="04A0" w:firstRow="1" w:lastRow="0" w:firstColumn="1" w:lastColumn="0" w:noHBand="0" w:noVBand="1"/>
      </w:tblPr>
      <w:tblGrid>
        <w:gridCol w:w="2281"/>
        <w:gridCol w:w="3512"/>
        <w:gridCol w:w="3512"/>
      </w:tblGrid>
      <w:tr w:rsidR="009A7CC3" w:rsidRPr="00923A56" w14:paraId="7AD666AE" w14:textId="77777777" w:rsidTr="007D53E9">
        <w:trPr>
          <w:trHeight w:val="20"/>
          <w:tblHeader/>
        </w:trPr>
        <w:tc>
          <w:tcPr>
            <w:tcW w:w="1226" w:type="pct"/>
            <w:tcBorders>
              <w:top w:val="single" w:sz="18" w:space="0" w:color="4C7D2C"/>
              <w:bottom w:val="single" w:sz="18" w:space="0" w:color="4C7D2C"/>
            </w:tcBorders>
          </w:tcPr>
          <w:p w14:paraId="112F700C" w14:textId="201FB5CB" w:rsidR="009A7CC3" w:rsidRPr="00923A56" w:rsidRDefault="008A6945" w:rsidP="007D53E9">
            <w:pPr>
              <w:spacing w:before="200" w:after="200"/>
              <w:rPr>
                <w:rFonts w:ascii="Avenir Book" w:eastAsia="Avenir Next LT Pro" w:hAnsi="Avenir Book" w:cs="Times New Roman"/>
                <w:b/>
                <w:bCs/>
                <w:color w:val="4C7D2C"/>
              </w:rPr>
            </w:pPr>
            <w:r>
              <w:rPr>
                <w:rFonts w:ascii="Avenir Book" w:eastAsia="Avenir Next LT Pro" w:hAnsi="Avenir Book" w:cs="Times New Roman"/>
                <w:b/>
                <w:bCs/>
                <w:color w:val="4C7D2C"/>
              </w:rPr>
              <w:t>Unit</w:t>
            </w:r>
            <w:r w:rsidR="009A7CC3" w:rsidRPr="00923A56">
              <w:rPr>
                <w:rFonts w:ascii="Avenir Book" w:eastAsia="Avenir Next LT Pro" w:hAnsi="Avenir Book" w:cs="Times New Roman"/>
                <w:b/>
                <w:bCs/>
                <w:color w:val="4C7D2C"/>
              </w:rPr>
              <w:t xml:space="preserve"> code</w:t>
            </w:r>
          </w:p>
        </w:tc>
        <w:tc>
          <w:tcPr>
            <w:tcW w:w="1887" w:type="pct"/>
            <w:tcBorders>
              <w:top w:val="single" w:sz="18" w:space="0" w:color="4C7D2C"/>
              <w:bottom w:val="single" w:sz="18" w:space="0" w:color="4C7D2C"/>
            </w:tcBorders>
          </w:tcPr>
          <w:p w14:paraId="63EA34C7" w14:textId="36413256" w:rsidR="009A7CC3" w:rsidRPr="00923A56" w:rsidRDefault="008A6945" w:rsidP="007D53E9">
            <w:pPr>
              <w:spacing w:before="200" w:after="200"/>
              <w:rPr>
                <w:rFonts w:ascii="Avenir Book" w:eastAsia="Avenir Next LT Pro" w:hAnsi="Avenir Book" w:cs="Times New Roman"/>
                <w:b/>
                <w:bCs/>
                <w:color w:val="4C7D2C"/>
              </w:rPr>
            </w:pPr>
            <w:r>
              <w:rPr>
                <w:rFonts w:ascii="Avenir Book" w:eastAsia="Avenir Next LT Pro" w:hAnsi="Avenir Book" w:cs="Times New Roman"/>
                <w:b/>
                <w:bCs/>
                <w:color w:val="4C7D2C"/>
              </w:rPr>
              <w:t>Unit</w:t>
            </w:r>
            <w:r w:rsidR="009A7CC3" w:rsidRPr="00923A56">
              <w:rPr>
                <w:rFonts w:ascii="Avenir Book" w:eastAsia="Avenir Next LT Pro" w:hAnsi="Avenir Book" w:cs="Times New Roman"/>
                <w:b/>
                <w:bCs/>
                <w:color w:val="4C7D2C"/>
              </w:rPr>
              <w:t xml:space="preserve"> title</w:t>
            </w:r>
          </w:p>
        </w:tc>
        <w:tc>
          <w:tcPr>
            <w:tcW w:w="1887" w:type="pct"/>
            <w:tcBorders>
              <w:top w:val="single" w:sz="18" w:space="0" w:color="4C7D2C"/>
              <w:bottom w:val="single" w:sz="18" w:space="0" w:color="4C7D2C"/>
            </w:tcBorders>
          </w:tcPr>
          <w:p w14:paraId="2AF7ADE1" w14:textId="4ED3FF53" w:rsidR="009A7CC3" w:rsidRPr="00923A56" w:rsidRDefault="008A6945" w:rsidP="007D53E9">
            <w:pPr>
              <w:spacing w:before="200" w:after="200"/>
              <w:rPr>
                <w:rFonts w:ascii="Avenir Book" w:eastAsia="Avenir Next LT Pro" w:hAnsi="Avenir Book" w:cs="Times New Roman"/>
                <w:b/>
                <w:bCs/>
                <w:color w:val="4C7D2C"/>
              </w:rPr>
            </w:pPr>
            <w:r>
              <w:rPr>
                <w:rFonts w:ascii="Avenir Book" w:eastAsia="Avenir Next LT Pro" w:hAnsi="Avenir Book" w:cs="Times New Roman"/>
                <w:b/>
                <w:bCs/>
                <w:color w:val="4C7D2C"/>
              </w:rPr>
              <w:t>Training Package</w:t>
            </w:r>
          </w:p>
        </w:tc>
      </w:tr>
      <w:tr w:rsidR="00705188" w:rsidRPr="00923A56" w14:paraId="2EA3F21F" w14:textId="77777777" w:rsidTr="00F84D09">
        <w:trPr>
          <w:trHeight w:val="20"/>
        </w:trPr>
        <w:tc>
          <w:tcPr>
            <w:tcW w:w="1226" w:type="pct"/>
            <w:vAlign w:val="bottom"/>
          </w:tcPr>
          <w:p w14:paraId="0E2E082A" w14:textId="5F91F6BC" w:rsidR="00705188" w:rsidRPr="00923A56" w:rsidRDefault="00705188" w:rsidP="00705188">
            <w:pPr>
              <w:pStyle w:val="SITableBody"/>
            </w:pPr>
            <w:r w:rsidRPr="001359F7">
              <w:rPr>
                <w:rFonts w:cs="Arial"/>
              </w:rPr>
              <w:t>AUMGTW003</w:t>
            </w:r>
          </w:p>
        </w:tc>
        <w:tc>
          <w:tcPr>
            <w:tcW w:w="1887" w:type="pct"/>
            <w:vAlign w:val="bottom"/>
          </w:tcPr>
          <w:p w14:paraId="16FBFCEA" w14:textId="7DB38194" w:rsidR="00705188" w:rsidRPr="00923A56" w:rsidRDefault="00705188" w:rsidP="00705188">
            <w:pPr>
              <w:pStyle w:val="SITableBody"/>
            </w:pPr>
            <w:r w:rsidRPr="001359F7">
              <w:rPr>
                <w:rFonts w:cs="Arial"/>
                <w:color w:val="000000"/>
              </w:rPr>
              <w:t>Perform manual metal arc welding</w:t>
            </w:r>
          </w:p>
        </w:tc>
        <w:tc>
          <w:tcPr>
            <w:tcW w:w="1887" w:type="pct"/>
          </w:tcPr>
          <w:p w14:paraId="5C2265B0" w14:textId="6A7F118F" w:rsidR="00705188" w:rsidRPr="00923A56" w:rsidRDefault="00705188" w:rsidP="00705188">
            <w:pPr>
              <w:pStyle w:val="SITableBody"/>
            </w:pPr>
            <w:r>
              <w:t>Automotive Manufacturing</w:t>
            </w:r>
          </w:p>
        </w:tc>
      </w:tr>
      <w:tr w:rsidR="00705188" w:rsidRPr="00923A56" w14:paraId="362129A4" w14:textId="77777777" w:rsidTr="00F84D09">
        <w:trPr>
          <w:trHeight w:val="20"/>
        </w:trPr>
        <w:tc>
          <w:tcPr>
            <w:tcW w:w="1226" w:type="pct"/>
            <w:vAlign w:val="bottom"/>
          </w:tcPr>
          <w:p w14:paraId="73961976" w14:textId="27D19276" w:rsidR="00705188" w:rsidRPr="00923A56" w:rsidRDefault="00705188" w:rsidP="00705188">
            <w:pPr>
              <w:pStyle w:val="SITableBody"/>
            </w:pPr>
            <w:r w:rsidRPr="001359F7">
              <w:rPr>
                <w:rFonts w:cs="Arial"/>
              </w:rPr>
              <w:t>AUMGTW005</w:t>
            </w:r>
          </w:p>
        </w:tc>
        <w:tc>
          <w:tcPr>
            <w:tcW w:w="1887" w:type="pct"/>
            <w:vAlign w:val="bottom"/>
          </w:tcPr>
          <w:p w14:paraId="605BB48F" w14:textId="2DEC87D8" w:rsidR="00705188" w:rsidRPr="00923A56" w:rsidRDefault="00705188" w:rsidP="00705188">
            <w:pPr>
              <w:pStyle w:val="SITableBody"/>
            </w:pPr>
            <w:r w:rsidRPr="001359F7">
              <w:rPr>
                <w:rFonts w:cs="Arial"/>
                <w:color w:val="000000"/>
              </w:rPr>
              <w:t>Perform gas metal arc welding</w:t>
            </w:r>
          </w:p>
        </w:tc>
        <w:tc>
          <w:tcPr>
            <w:tcW w:w="1887" w:type="pct"/>
          </w:tcPr>
          <w:p w14:paraId="392AB2FB" w14:textId="66242E2D" w:rsidR="00705188" w:rsidRPr="00923A56" w:rsidRDefault="00705188" w:rsidP="00705188">
            <w:pPr>
              <w:pStyle w:val="SITableBody"/>
            </w:pPr>
            <w:r>
              <w:t>Automotive Manufacturing</w:t>
            </w:r>
          </w:p>
        </w:tc>
      </w:tr>
      <w:tr w:rsidR="00705188" w:rsidRPr="00923A56" w14:paraId="7E50C194" w14:textId="77777777" w:rsidTr="00F84D09">
        <w:trPr>
          <w:trHeight w:val="20"/>
        </w:trPr>
        <w:tc>
          <w:tcPr>
            <w:tcW w:w="1226" w:type="pct"/>
            <w:vAlign w:val="bottom"/>
          </w:tcPr>
          <w:p w14:paraId="6915F922" w14:textId="150C63D8" w:rsidR="00705188" w:rsidRPr="00923A56" w:rsidRDefault="00705188" w:rsidP="00705188">
            <w:pPr>
              <w:pStyle w:val="SITableBody"/>
            </w:pPr>
            <w:r w:rsidRPr="001359F7">
              <w:rPr>
                <w:rFonts w:cs="Arial"/>
              </w:rPr>
              <w:t>BSBCRT201</w:t>
            </w:r>
          </w:p>
        </w:tc>
        <w:tc>
          <w:tcPr>
            <w:tcW w:w="1887" w:type="pct"/>
            <w:vAlign w:val="bottom"/>
          </w:tcPr>
          <w:p w14:paraId="0B0383D1" w14:textId="175F13BD" w:rsidR="00705188" w:rsidRPr="00923A56" w:rsidRDefault="00705188" w:rsidP="00705188">
            <w:pPr>
              <w:pStyle w:val="SITableBody"/>
            </w:pPr>
            <w:r w:rsidRPr="001359F7">
              <w:rPr>
                <w:rFonts w:cs="Arial"/>
                <w:color w:val="000000"/>
              </w:rPr>
              <w:t xml:space="preserve">Develop and apply thinking and </w:t>
            </w:r>
            <w:proofErr w:type="gramStart"/>
            <w:r w:rsidRPr="001359F7">
              <w:rPr>
                <w:rFonts w:cs="Arial"/>
                <w:color w:val="000000"/>
              </w:rPr>
              <w:t>problem solving</w:t>
            </w:r>
            <w:proofErr w:type="gramEnd"/>
            <w:r w:rsidRPr="001359F7">
              <w:rPr>
                <w:rFonts w:cs="Arial"/>
                <w:color w:val="000000"/>
              </w:rPr>
              <w:t xml:space="preserve"> skills</w:t>
            </w:r>
          </w:p>
        </w:tc>
        <w:tc>
          <w:tcPr>
            <w:tcW w:w="1887" w:type="pct"/>
          </w:tcPr>
          <w:p w14:paraId="20E4A313" w14:textId="3584EAF7" w:rsidR="00705188" w:rsidRPr="00923A56" w:rsidRDefault="00705188" w:rsidP="00705188">
            <w:pPr>
              <w:pStyle w:val="SITableBody"/>
            </w:pPr>
            <w:r>
              <w:t>Business Services</w:t>
            </w:r>
          </w:p>
        </w:tc>
      </w:tr>
      <w:tr w:rsidR="00705188" w:rsidRPr="00923A56" w14:paraId="7DF7DD45" w14:textId="77777777" w:rsidTr="007D53E9">
        <w:trPr>
          <w:trHeight w:val="20"/>
        </w:trPr>
        <w:tc>
          <w:tcPr>
            <w:tcW w:w="1226" w:type="pct"/>
          </w:tcPr>
          <w:p w14:paraId="14498A2F" w14:textId="4736CD23" w:rsidR="00705188" w:rsidRPr="00923A56" w:rsidRDefault="00705188" w:rsidP="00705188">
            <w:pPr>
              <w:pStyle w:val="SITableBody"/>
            </w:pPr>
            <w:r w:rsidRPr="001359F7">
              <w:rPr>
                <w:rFonts w:cs="Arial"/>
              </w:rPr>
              <w:t>BSBLDR414</w:t>
            </w:r>
          </w:p>
        </w:tc>
        <w:tc>
          <w:tcPr>
            <w:tcW w:w="1887" w:type="pct"/>
          </w:tcPr>
          <w:p w14:paraId="6446EB0A" w14:textId="1C689587" w:rsidR="00705188" w:rsidRPr="00923A56" w:rsidRDefault="00705188" w:rsidP="00705188">
            <w:pPr>
              <w:pStyle w:val="SITableBody"/>
            </w:pPr>
            <w:r w:rsidRPr="001359F7">
              <w:rPr>
                <w:rFonts w:cs="Arial"/>
                <w:color w:val="000000"/>
              </w:rPr>
              <w:t>Lead team effectiveness</w:t>
            </w:r>
          </w:p>
        </w:tc>
        <w:tc>
          <w:tcPr>
            <w:tcW w:w="1887" w:type="pct"/>
          </w:tcPr>
          <w:p w14:paraId="0FB3C0CB" w14:textId="733D1F67" w:rsidR="00705188" w:rsidRPr="00923A56" w:rsidRDefault="00705188" w:rsidP="00705188">
            <w:pPr>
              <w:pStyle w:val="SITableBody"/>
            </w:pPr>
            <w:r>
              <w:t>Business Services</w:t>
            </w:r>
          </w:p>
        </w:tc>
      </w:tr>
      <w:tr w:rsidR="00705188" w:rsidRPr="00923A56" w14:paraId="73977324" w14:textId="77777777" w:rsidTr="007D53E9">
        <w:trPr>
          <w:trHeight w:val="20"/>
        </w:trPr>
        <w:tc>
          <w:tcPr>
            <w:tcW w:w="1226" w:type="pct"/>
          </w:tcPr>
          <w:p w14:paraId="756F6CDA" w14:textId="0AEA9793" w:rsidR="00705188" w:rsidRPr="00923A56" w:rsidRDefault="00705188" w:rsidP="00705188">
            <w:pPr>
              <w:pStyle w:val="SITableBody"/>
            </w:pPr>
            <w:r w:rsidRPr="001359F7">
              <w:rPr>
                <w:rFonts w:cs="Arial"/>
              </w:rPr>
              <w:t>BSBMKG431</w:t>
            </w:r>
          </w:p>
        </w:tc>
        <w:tc>
          <w:tcPr>
            <w:tcW w:w="1887" w:type="pct"/>
          </w:tcPr>
          <w:p w14:paraId="4EAFE67F" w14:textId="64C59E45" w:rsidR="00705188" w:rsidRPr="00923A56" w:rsidRDefault="00705188" w:rsidP="00705188">
            <w:pPr>
              <w:pStyle w:val="SITableBody"/>
            </w:pPr>
            <w:r w:rsidRPr="001359F7">
              <w:rPr>
                <w:rFonts w:cs="Arial"/>
              </w:rPr>
              <w:t>Assess marketing opportunities</w:t>
            </w:r>
          </w:p>
        </w:tc>
        <w:tc>
          <w:tcPr>
            <w:tcW w:w="1887" w:type="pct"/>
          </w:tcPr>
          <w:p w14:paraId="4D2A875A" w14:textId="0C559BEE" w:rsidR="00705188" w:rsidRPr="00923A56" w:rsidRDefault="00705188" w:rsidP="00705188">
            <w:pPr>
              <w:pStyle w:val="SITableBody"/>
            </w:pPr>
            <w:r>
              <w:t>Business Services</w:t>
            </w:r>
          </w:p>
        </w:tc>
      </w:tr>
      <w:tr w:rsidR="00705188" w:rsidRPr="00923A56" w14:paraId="340B0C97" w14:textId="77777777" w:rsidTr="007D53E9">
        <w:trPr>
          <w:trHeight w:val="20"/>
        </w:trPr>
        <w:tc>
          <w:tcPr>
            <w:tcW w:w="1226" w:type="pct"/>
          </w:tcPr>
          <w:p w14:paraId="782AFD2C" w14:textId="4B4BAB4A" w:rsidR="00705188" w:rsidRPr="00923A56" w:rsidRDefault="00705188" w:rsidP="00705188">
            <w:pPr>
              <w:pStyle w:val="SITableBody"/>
            </w:pPr>
            <w:r w:rsidRPr="001359F7">
              <w:rPr>
                <w:rFonts w:cs="Arial"/>
              </w:rPr>
              <w:t>BSBPEF201</w:t>
            </w:r>
          </w:p>
        </w:tc>
        <w:tc>
          <w:tcPr>
            <w:tcW w:w="1887" w:type="pct"/>
          </w:tcPr>
          <w:p w14:paraId="243F8323" w14:textId="30F707B5" w:rsidR="00705188" w:rsidRPr="00923A56" w:rsidRDefault="00705188" w:rsidP="00705188">
            <w:pPr>
              <w:pStyle w:val="SITableBody"/>
            </w:pPr>
            <w:r w:rsidRPr="001359F7">
              <w:rPr>
                <w:rFonts w:cs="Arial"/>
              </w:rPr>
              <w:t>Support personal wellbeing in the workplace</w:t>
            </w:r>
          </w:p>
        </w:tc>
        <w:tc>
          <w:tcPr>
            <w:tcW w:w="1887" w:type="pct"/>
          </w:tcPr>
          <w:p w14:paraId="33969CD3" w14:textId="0FEF6BB8" w:rsidR="00705188" w:rsidRPr="00923A56" w:rsidRDefault="00705188" w:rsidP="00705188">
            <w:pPr>
              <w:pStyle w:val="SITableBody"/>
            </w:pPr>
            <w:r>
              <w:t>Business Services</w:t>
            </w:r>
          </w:p>
        </w:tc>
      </w:tr>
      <w:tr w:rsidR="00705188" w:rsidRPr="00923A56" w14:paraId="2B2176FD" w14:textId="77777777" w:rsidTr="007D53E9">
        <w:trPr>
          <w:trHeight w:val="20"/>
        </w:trPr>
        <w:tc>
          <w:tcPr>
            <w:tcW w:w="1226" w:type="pct"/>
          </w:tcPr>
          <w:p w14:paraId="79C97995" w14:textId="6F0437D3" w:rsidR="00705188" w:rsidRPr="00923A56" w:rsidRDefault="00705188" w:rsidP="00705188">
            <w:pPr>
              <w:pStyle w:val="SITableBody"/>
            </w:pPr>
            <w:r w:rsidRPr="001359F7">
              <w:rPr>
                <w:rFonts w:cs="Arial"/>
              </w:rPr>
              <w:t>BSBPEF401</w:t>
            </w:r>
          </w:p>
        </w:tc>
        <w:tc>
          <w:tcPr>
            <w:tcW w:w="1887" w:type="pct"/>
          </w:tcPr>
          <w:p w14:paraId="414A5086" w14:textId="0FDE8C85" w:rsidR="00705188" w:rsidRPr="00923A56" w:rsidRDefault="00705188" w:rsidP="00705188">
            <w:pPr>
              <w:pStyle w:val="SITableBody"/>
            </w:pPr>
            <w:r w:rsidRPr="001359F7">
              <w:rPr>
                <w:rFonts w:cs="Arial"/>
              </w:rPr>
              <w:t>Manage personal health and wellbeing</w:t>
            </w:r>
          </w:p>
        </w:tc>
        <w:tc>
          <w:tcPr>
            <w:tcW w:w="1887" w:type="pct"/>
          </w:tcPr>
          <w:p w14:paraId="5B000736" w14:textId="67C18F53" w:rsidR="00705188" w:rsidRPr="00923A56" w:rsidRDefault="00705188" w:rsidP="00705188">
            <w:pPr>
              <w:pStyle w:val="SITableBody"/>
            </w:pPr>
            <w:r>
              <w:t>Business Services</w:t>
            </w:r>
          </w:p>
        </w:tc>
      </w:tr>
      <w:tr w:rsidR="00705188" w:rsidRPr="00923A56" w14:paraId="0F2F002B" w14:textId="77777777" w:rsidTr="00F84D09">
        <w:trPr>
          <w:trHeight w:val="20"/>
        </w:trPr>
        <w:tc>
          <w:tcPr>
            <w:tcW w:w="1226" w:type="pct"/>
            <w:vAlign w:val="bottom"/>
          </w:tcPr>
          <w:p w14:paraId="2E0A16D1" w14:textId="07A44829" w:rsidR="00705188" w:rsidRPr="00923A56" w:rsidRDefault="00705188" w:rsidP="00705188">
            <w:pPr>
              <w:pStyle w:val="SITableBody"/>
            </w:pPr>
            <w:r w:rsidRPr="001359F7">
              <w:rPr>
                <w:rFonts w:cs="Arial"/>
              </w:rPr>
              <w:t>BSBTEC403</w:t>
            </w:r>
          </w:p>
        </w:tc>
        <w:tc>
          <w:tcPr>
            <w:tcW w:w="1887" w:type="pct"/>
            <w:vAlign w:val="bottom"/>
          </w:tcPr>
          <w:p w14:paraId="541A1E86" w14:textId="4470FAAD" w:rsidR="00705188" w:rsidRPr="00923A56" w:rsidRDefault="00705188" w:rsidP="00705188">
            <w:pPr>
              <w:pStyle w:val="SITableBody"/>
            </w:pPr>
            <w:r w:rsidRPr="001359F7">
              <w:rPr>
                <w:rFonts w:cs="Arial"/>
                <w:color w:val="000000"/>
              </w:rPr>
              <w:t>Apply digital solutions to work processes</w:t>
            </w:r>
          </w:p>
        </w:tc>
        <w:tc>
          <w:tcPr>
            <w:tcW w:w="1887" w:type="pct"/>
          </w:tcPr>
          <w:p w14:paraId="0911E947" w14:textId="3D4D9803" w:rsidR="00705188" w:rsidRPr="00923A56" w:rsidRDefault="00705188" w:rsidP="00705188">
            <w:pPr>
              <w:pStyle w:val="SITableBody"/>
            </w:pPr>
            <w:r>
              <w:t>Business Services</w:t>
            </w:r>
          </w:p>
        </w:tc>
      </w:tr>
      <w:tr w:rsidR="00705188" w:rsidRPr="00923A56" w14:paraId="44BC9734" w14:textId="77777777" w:rsidTr="007D53E9">
        <w:trPr>
          <w:trHeight w:val="20"/>
        </w:trPr>
        <w:tc>
          <w:tcPr>
            <w:tcW w:w="1226" w:type="pct"/>
          </w:tcPr>
          <w:p w14:paraId="6999B1D2" w14:textId="64CD8AC5" w:rsidR="00705188" w:rsidRPr="00923A56" w:rsidRDefault="00705188" w:rsidP="00705188">
            <w:pPr>
              <w:pStyle w:val="SITableBody"/>
            </w:pPr>
            <w:r w:rsidRPr="001359F7">
              <w:rPr>
                <w:rFonts w:cs="Arial"/>
              </w:rPr>
              <w:t>BSBWRT311</w:t>
            </w:r>
          </w:p>
        </w:tc>
        <w:tc>
          <w:tcPr>
            <w:tcW w:w="1887" w:type="pct"/>
          </w:tcPr>
          <w:p w14:paraId="4847BA40" w14:textId="3C51A60C" w:rsidR="00705188" w:rsidRPr="00923A56" w:rsidRDefault="00705188" w:rsidP="00705188">
            <w:pPr>
              <w:pStyle w:val="SITableBody"/>
            </w:pPr>
            <w:r w:rsidRPr="001359F7">
              <w:rPr>
                <w:rFonts w:cs="Arial"/>
                <w:color w:val="000000"/>
              </w:rPr>
              <w:t>Write simple documents</w:t>
            </w:r>
          </w:p>
        </w:tc>
        <w:tc>
          <w:tcPr>
            <w:tcW w:w="1887" w:type="pct"/>
          </w:tcPr>
          <w:p w14:paraId="02C117D9" w14:textId="235BE537" w:rsidR="00705188" w:rsidRPr="00923A56" w:rsidRDefault="00705188" w:rsidP="00705188">
            <w:pPr>
              <w:pStyle w:val="SITableBody"/>
            </w:pPr>
            <w:r>
              <w:t>Business Services</w:t>
            </w:r>
          </w:p>
        </w:tc>
      </w:tr>
      <w:tr w:rsidR="00705188" w:rsidRPr="00923A56" w14:paraId="1996D32D" w14:textId="77777777" w:rsidTr="007D53E9">
        <w:trPr>
          <w:trHeight w:val="20"/>
        </w:trPr>
        <w:tc>
          <w:tcPr>
            <w:tcW w:w="1226" w:type="pct"/>
          </w:tcPr>
          <w:p w14:paraId="7CA03D8C" w14:textId="17753411" w:rsidR="00705188" w:rsidRPr="00923A56" w:rsidRDefault="00705188" w:rsidP="00705188">
            <w:pPr>
              <w:pStyle w:val="SITableBody"/>
            </w:pPr>
            <w:r w:rsidRPr="001359F7">
              <w:t>BSBXCM301</w:t>
            </w:r>
          </w:p>
        </w:tc>
        <w:tc>
          <w:tcPr>
            <w:tcW w:w="1887" w:type="pct"/>
          </w:tcPr>
          <w:p w14:paraId="2A661514" w14:textId="065B35CA" w:rsidR="00705188" w:rsidRPr="00923A56" w:rsidRDefault="00705188" w:rsidP="00705188">
            <w:pPr>
              <w:pStyle w:val="SITableBody"/>
            </w:pPr>
            <w:r w:rsidRPr="001359F7">
              <w:t>Engage in workplace communications</w:t>
            </w:r>
          </w:p>
        </w:tc>
        <w:tc>
          <w:tcPr>
            <w:tcW w:w="1887" w:type="pct"/>
          </w:tcPr>
          <w:p w14:paraId="2943656D" w14:textId="742B300A" w:rsidR="00705188" w:rsidRPr="00923A56" w:rsidRDefault="00705188" w:rsidP="00705188">
            <w:pPr>
              <w:pStyle w:val="SITableBody"/>
            </w:pPr>
            <w:r>
              <w:t>Business Services</w:t>
            </w:r>
          </w:p>
        </w:tc>
      </w:tr>
      <w:tr w:rsidR="00705188" w:rsidRPr="00923A56" w14:paraId="23211588" w14:textId="77777777" w:rsidTr="007D53E9">
        <w:trPr>
          <w:trHeight w:val="20"/>
        </w:trPr>
        <w:tc>
          <w:tcPr>
            <w:tcW w:w="1226" w:type="pct"/>
          </w:tcPr>
          <w:p w14:paraId="129387F8" w14:textId="37DEEF89" w:rsidR="00705188" w:rsidRPr="00923A56" w:rsidRDefault="00705188" w:rsidP="00705188">
            <w:pPr>
              <w:pStyle w:val="SITableBody"/>
            </w:pPr>
            <w:r w:rsidRPr="001359F7">
              <w:rPr>
                <w:rFonts w:cs="Arial"/>
              </w:rPr>
              <w:t>CPPFES2005</w:t>
            </w:r>
          </w:p>
        </w:tc>
        <w:tc>
          <w:tcPr>
            <w:tcW w:w="1887" w:type="pct"/>
          </w:tcPr>
          <w:p w14:paraId="40D3F7A1" w14:textId="7E983701" w:rsidR="00705188" w:rsidRPr="00923A56" w:rsidRDefault="00705188" w:rsidP="00705188">
            <w:pPr>
              <w:pStyle w:val="SITableBody"/>
            </w:pPr>
            <w:r w:rsidRPr="001359F7">
              <w:rPr>
                <w:rFonts w:cs="Arial"/>
              </w:rPr>
              <w:t>Demonstrate first attack firefighting equipment</w:t>
            </w:r>
          </w:p>
        </w:tc>
        <w:tc>
          <w:tcPr>
            <w:tcW w:w="1887" w:type="pct"/>
          </w:tcPr>
          <w:p w14:paraId="1ECFC0B8" w14:textId="30831235" w:rsidR="00705188" w:rsidRPr="00923A56" w:rsidRDefault="00705188" w:rsidP="00705188">
            <w:pPr>
              <w:pStyle w:val="SITableBody"/>
            </w:pPr>
            <w:r>
              <w:t>Property Services</w:t>
            </w:r>
          </w:p>
        </w:tc>
      </w:tr>
      <w:tr w:rsidR="00705188" w:rsidRPr="00923A56" w14:paraId="06F03C34" w14:textId="77777777" w:rsidTr="007D53E9">
        <w:trPr>
          <w:trHeight w:val="20"/>
        </w:trPr>
        <w:tc>
          <w:tcPr>
            <w:tcW w:w="1226" w:type="pct"/>
          </w:tcPr>
          <w:p w14:paraId="45BE9D9E" w14:textId="2F5E4403" w:rsidR="00705188" w:rsidRPr="00923A56" w:rsidRDefault="00705188" w:rsidP="00705188">
            <w:pPr>
              <w:pStyle w:val="SITableBody"/>
            </w:pPr>
            <w:r w:rsidRPr="001359F7">
              <w:t>FPBGRA3026</w:t>
            </w:r>
          </w:p>
        </w:tc>
        <w:tc>
          <w:tcPr>
            <w:tcW w:w="1887" w:type="pct"/>
          </w:tcPr>
          <w:p w14:paraId="3CB18659" w14:textId="4E63E8E0" w:rsidR="00705188" w:rsidRPr="00923A56" w:rsidRDefault="00705188" w:rsidP="00705188">
            <w:pPr>
              <w:pStyle w:val="SITableBody"/>
            </w:pPr>
            <w:r w:rsidRPr="001359F7">
              <w:t>Receive and handle grain in a storage area</w:t>
            </w:r>
          </w:p>
        </w:tc>
        <w:tc>
          <w:tcPr>
            <w:tcW w:w="1887" w:type="pct"/>
          </w:tcPr>
          <w:p w14:paraId="017BD6E8" w14:textId="69E9C5A5" w:rsidR="00705188" w:rsidRPr="00923A56" w:rsidRDefault="00705188" w:rsidP="00705188">
            <w:pPr>
              <w:pStyle w:val="SITableBody"/>
            </w:pPr>
            <w:r>
              <w:t>Food, Beverage and Pharmaceutical</w:t>
            </w:r>
          </w:p>
        </w:tc>
      </w:tr>
      <w:tr w:rsidR="00705188" w:rsidRPr="00923A56" w14:paraId="0249A5C8" w14:textId="77777777" w:rsidTr="007D53E9">
        <w:trPr>
          <w:trHeight w:val="20"/>
        </w:trPr>
        <w:tc>
          <w:tcPr>
            <w:tcW w:w="1226" w:type="pct"/>
          </w:tcPr>
          <w:p w14:paraId="48195213" w14:textId="485036D7" w:rsidR="00705188" w:rsidRPr="00923A56" w:rsidRDefault="00705188" w:rsidP="00705188">
            <w:pPr>
              <w:pStyle w:val="SITableBody"/>
            </w:pPr>
            <w:r w:rsidRPr="001359F7">
              <w:lastRenderedPageBreak/>
              <w:t>HLTAID011</w:t>
            </w:r>
          </w:p>
        </w:tc>
        <w:tc>
          <w:tcPr>
            <w:tcW w:w="1887" w:type="pct"/>
          </w:tcPr>
          <w:p w14:paraId="0E6E83CA" w14:textId="48549F29" w:rsidR="00705188" w:rsidRPr="00923A56" w:rsidRDefault="00705188" w:rsidP="00705188">
            <w:pPr>
              <w:pStyle w:val="SITableBody"/>
            </w:pPr>
            <w:r w:rsidRPr="001359F7">
              <w:t>Provide First Aid</w:t>
            </w:r>
          </w:p>
        </w:tc>
        <w:tc>
          <w:tcPr>
            <w:tcW w:w="1887" w:type="pct"/>
          </w:tcPr>
          <w:p w14:paraId="40C28A8A" w14:textId="716AC58D" w:rsidR="00705188" w:rsidRPr="00923A56" w:rsidRDefault="00705188" w:rsidP="00705188">
            <w:pPr>
              <w:pStyle w:val="SITableBody"/>
            </w:pPr>
            <w:r>
              <w:t>Health</w:t>
            </w:r>
          </w:p>
        </w:tc>
      </w:tr>
      <w:tr w:rsidR="00705188" w:rsidRPr="00923A56" w14:paraId="1CF4541F" w14:textId="77777777" w:rsidTr="007D53E9">
        <w:trPr>
          <w:trHeight w:val="20"/>
        </w:trPr>
        <w:tc>
          <w:tcPr>
            <w:tcW w:w="1226" w:type="pct"/>
          </w:tcPr>
          <w:p w14:paraId="4D0312A9" w14:textId="2829B460" w:rsidR="00705188" w:rsidRPr="00923A56" w:rsidRDefault="00705188" w:rsidP="00705188">
            <w:pPr>
              <w:pStyle w:val="SITableBody"/>
            </w:pPr>
            <w:r w:rsidRPr="001359F7">
              <w:rPr>
                <w:rFonts w:cs="Arial"/>
              </w:rPr>
              <w:t>RIIMPO335E</w:t>
            </w:r>
          </w:p>
        </w:tc>
        <w:tc>
          <w:tcPr>
            <w:tcW w:w="1887" w:type="pct"/>
          </w:tcPr>
          <w:p w14:paraId="09EFAA20" w14:textId="62F98DFB" w:rsidR="00705188" w:rsidRPr="00923A56" w:rsidRDefault="00705188" w:rsidP="00705188">
            <w:pPr>
              <w:pStyle w:val="SITableBody"/>
            </w:pPr>
            <w:r w:rsidRPr="001359F7">
              <w:rPr>
                <w:rFonts w:cs="Arial"/>
              </w:rPr>
              <w:t>Conduct skid steer loader operations without attachments</w:t>
            </w:r>
          </w:p>
        </w:tc>
        <w:tc>
          <w:tcPr>
            <w:tcW w:w="1887" w:type="pct"/>
          </w:tcPr>
          <w:p w14:paraId="4A5E411A" w14:textId="1AC8BE7D" w:rsidR="00705188" w:rsidRPr="00923A56" w:rsidRDefault="00705188" w:rsidP="00705188">
            <w:pPr>
              <w:pStyle w:val="SITableBody"/>
            </w:pPr>
            <w:r>
              <w:t>Resources and Infrastructure</w:t>
            </w:r>
          </w:p>
        </w:tc>
      </w:tr>
      <w:tr w:rsidR="00705188" w:rsidRPr="00923A56" w14:paraId="60920812" w14:textId="77777777" w:rsidTr="007D53E9">
        <w:trPr>
          <w:trHeight w:val="20"/>
        </w:trPr>
        <w:tc>
          <w:tcPr>
            <w:tcW w:w="1226" w:type="pct"/>
          </w:tcPr>
          <w:p w14:paraId="5CA020D2" w14:textId="22406EE5" w:rsidR="00705188" w:rsidRPr="00923A56" w:rsidRDefault="00705188" w:rsidP="00705188">
            <w:pPr>
              <w:pStyle w:val="SITableBody"/>
            </w:pPr>
            <w:r w:rsidRPr="001359F7">
              <w:rPr>
                <w:rFonts w:cs="Arial"/>
              </w:rPr>
              <w:t>RIISAM203E</w:t>
            </w:r>
          </w:p>
        </w:tc>
        <w:tc>
          <w:tcPr>
            <w:tcW w:w="1887" w:type="pct"/>
          </w:tcPr>
          <w:p w14:paraId="0617FE45" w14:textId="1CEB047C" w:rsidR="00705188" w:rsidRPr="00923A56" w:rsidRDefault="00705188" w:rsidP="00705188">
            <w:pPr>
              <w:pStyle w:val="SITableBody"/>
            </w:pPr>
            <w:r w:rsidRPr="001359F7">
              <w:rPr>
                <w:rFonts w:cs="Arial"/>
                <w:color w:val="213430"/>
              </w:rPr>
              <w:t>Use hand and power tools</w:t>
            </w:r>
          </w:p>
        </w:tc>
        <w:tc>
          <w:tcPr>
            <w:tcW w:w="1887" w:type="pct"/>
          </w:tcPr>
          <w:p w14:paraId="618258B5" w14:textId="7F17D2D9" w:rsidR="00705188" w:rsidRPr="00923A56" w:rsidRDefault="00705188" w:rsidP="00705188">
            <w:pPr>
              <w:pStyle w:val="SITableBody"/>
            </w:pPr>
            <w:r>
              <w:t>Resources and Infrastructure</w:t>
            </w:r>
          </w:p>
        </w:tc>
      </w:tr>
      <w:tr w:rsidR="00705188" w:rsidRPr="00923A56" w14:paraId="5F61BDB5" w14:textId="77777777" w:rsidTr="007D53E9">
        <w:trPr>
          <w:trHeight w:val="20"/>
        </w:trPr>
        <w:tc>
          <w:tcPr>
            <w:tcW w:w="1226" w:type="pct"/>
          </w:tcPr>
          <w:p w14:paraId="4C8F891A" w14:textId="5000CBD0" w:rsidR="00705188" w:rsidRPr="00923A56" w:rsidRDefault="00705188" w:rsidP="00705188">
            <w:pPr>
              <w:pStyle w:val="SITableBody"/>
            </w:pPr>
            <w:r w:rsidRPr="001359F7">
              <w:rPr>
                <w:rFonts w:cs="Arial"/>
              </w:rPr>
              <w:t>RIIWHS202E</w:t>
            </w:r>
          </w:p>
        </w:tc>
        <w:tc>
          <w:tcPr>
            <w:tcW w:w="1887" w:type="pct"/>
          </w:tcPr>
          <w:p w14:paraId="398B8C27" w14:textId="4997C381" w:rsidR="00705188" w:rsidRPr="00923A56" w:rsidRDefault="00705188" w:rsidP="00705188">
            <w:pPr>
              <w:pStyle w:val="SITableBody"/>
            </w:pPr>
            <w:r w:rsidRPr="001359F7">
              <w:rPr>
                <w:rFonts w:cs="Arial"/>
                <w:color w:val="000000"/>
              </w:rPr>
              <w:t>Enter and work in confined spaces</w:t>
            </w:r>
          </w:p>
        </w:tc>
        <w:tc>
          <w:tcPr>
            <w:tcW w:w="1887" w:type="pct"/>
          </w:tcPr>
          <w:p w14:paraId="398C889D" w14:textId="5E33F6A4" w:rsidR="00705188" w:rsidRPr="00923A56" w:rsidRDefault="00705188" w:rsidP="00705188">
            <w:pPr>
              <w:pStyle w:val="SITableBody"/>
            </w:pPr>
            <w:r>
              <w:t>Resources and Infrastructure</w:t>
            </w:r>
          </w:p>
        </w:tc>
      </w:tr>
      <w:tr w:rsidR="00705188" w:rsidRPr="00923A56" w14:paraId="5F64755B" w14:textId="77777777" w:rsidTr="007D53E9">
        <w:trPr>
          <w:trHeight w:val="20"/>
        </w:trPr>
        <w:tc>
          <w:tcPr>
            <w:tcW w:w="1226" w:type="pct"/>
          </w:tcPr>
          <w:p w14:paraId="55756E12" w14:textId="0A89D610" w:rsidR="00705188" w:rsidRPr="00923A56" w:rsidRDefault="00705188" w:rsidP="00705188">
            <w:pPr>
              <w:pStyle w:val="SITableBody"/>
            </w:pPr>
            <w:r w:rsidRPr="001359F7">
              <w:rPr>
                <w:rFonts w:cs="Arial"/>
              </w:rPr>
              <w:t>RIIWHS204E</w:t>
            </w:r>
          </w:p>
        </w:tc>
        <w:tc>
          <w:tcPr>
            <w:tcW w:w="1887" w:type="pct"/>
          </w:tcPr>
          <w:p w14:paraId="150C94AA" w14:textId="64E5C72D" w:rsidR="00705188" w:rsidRPr="00923A56" w:rsidRDefault="00705188" w:rsidP="00705188">
            <w:pPr>
              <w:pStyle w:val="SITableBody"/>
            </w:pPr>
            <w:r w:rsidRPr="001359F7">
              <w:rPr>
                <w:rFonts w:cs="Arial"/>
                <w:color w:val="000000"/>
              </w:rPr>
              <w:t>Work safely at heights</w:t>
            </w:r>
          </w:p>
        </w:tc>
        <w:tc>
          <w:tcPr>
            <w:tcW w:w="1887" w:type="pct"/>
          </w:tcPr>
          <w:p w14:paraId="1EAFF55B" w14:textId="5E16FF5C" w:rsidR="00705188" w:rsidRPr="00923A56" w:rsidRDefault="00705188" w:rsidP="00705188">
            <w:pPr>
              <w:pStyle w:val="SITableBody"/>
            </w:pPr>
            <w:r>
              <w:t>Resources and Infrastructure</w:t>
            </w:r>
          </w:p>
        </w:tc>
      </w:tr>
      <w:tr w:rsidR="00705188" w:rsidRPr="00923A56" w14:paraId="6410AF3E" w14:textId="77777777" w:rsidTr="00F84D09">
        <w:trPr>
          <w:trHeight w:val="20"/>
        </w:trPr>
        <w:tc>
          <w:tcPr>
            <w:tcW w:w="1226" w:type="pct"/>
            <w:vAlign w:val="bottom"/>
          </w:tcPr>
          <w:p w14:paraId="628D9CB8" w14:textId="334F497C" w:rsidR="00705188" w:rsidRPr="00923A56" w:rsidRDefault="00705188" w:rsidP="00705188">
            <w:pPr>
              <w:pStyle w:val="SITableBody"/>
            </w:pPr>
            <w:r w:rsidRPr="001359F7">
              <w:rPr>
                <w:rFonts w:cs="Arial"/>
              </w:rPr>
              <w:t>TAEDEL311</w:t>
            </w:r>
          </w:p>
        </w:tc>
        <w:tc>
          <w:tcPr>
            <w:tcW w:w="1887" w:type="pct"/>
            <w:vAlign w:val="bottom"/>
          </w:tcPr>
          <w:p w14:paraId="6DC21755" w14:textId="03C2E474" w:rsidR="00705188" w:rsidRPr="00923A56" w:rsidRDefault="00705188" w:rsidP="00705188">
            <w:pPr>
              <w:pStyle w:val="SITableBody"/>
            </w:pPr>
            <w:r w:rsidRPr="001359F7">
              <w:rPr>
                <w:rFonts w:cs="Arial"/>
                <w:color w:val="000000"/>
              </w:rPr>
              <w:t>Provide work skill instruction</w:t>
            </w:r>
          </w:p>
        </w:tc>
        <w:tc>
          <w:tcPr>
            <w:tcW w:w="1887" w:type="pct"/>
          </w:tcPr>
          <w:p w14:paraId="4A060593" w14:textId="66C2F7C7" w:rsidR="00705188" w:rsidRPr="00923A56" w:rsidRDefault="00705188" w:rsidP="00705188">
            <w:pPr>
              <w:pStyle w:val="SITableBody"/>
            </w:pPr>
            <w:r>
              <w:t>Training and Education</w:t>
            </w:r>
          </w:p>
        </w:tc>
      </w:tr>
      <w:tr w:rsidR="00705188" w:rsidRPr="00923A56" w14:paraId="54C3FE04" w14:textId="77777777" w:rsidTr="007D53E9">
        <w:trPr>
          <w:trHeight w:val="20"/>
        </w:trPr>
        <w:tc>
          <w:tcPr>
            <w:tcW w:w="1226" w:type="pct"/>
          </w:tcPr>
          <w:p w14:paraId="129FA12C" w14:textId="60A86BA0" w:rsidR="00705188" w:rsidRPr="00923A56" w:rsidRDefault="00705188" w:rsidP="00705188">
            <w:pPr>
              <w:pStyle w:val="SITableBody"/>
            </w:pPr>
            <w:r w:rsidRPr="001359F7">
              <w:rPr>
                <w:rFonts w:cs="Arial"/>
              </w:rPr>
              <w:t>TLIC0011</w:t>
            </w:r>
          </w:p>
        </w:tc>
        <w:tc>
          <w:tcPr>
            <w:tcW w:w="1887" w:type="pct"/>
          </w:tcPr>
          <w:p w14:paraId="10F6D893" w14:textId="3835CD44" w:rsidR="00705188" w:rsidRPr="00923A56" w:rsidRDefault="00705188" w:rsidP="00705188">
            <w:pPr>
              <w:pStyle w:val="SITableBody"/>
            </w:pPr>
            <w:r w:rsidRPr="001359F7">
              <w:rPr>
                <w:rFonts w:cs="Arial"/>
                <w:color w:val="213430"/>
              </w:rPr>
              <w:t>Conduct heavy vehicle recovery operations</w:t>
            </w:r>
          </w:p>
        </w:tc>
        <w:tc>
          <w:tcPr>
            <w:tcW w:w="1887" w:type="pct"/>
          </w:tcPr>
          <w:p w14:paraId="68DF2CBB" w14:textId="03107203" w:rsidR="00705188" w:rsidRPr="00923A56" w:rsidRDefault="00705188" w:rsidP="00705188">
            <w:pPr>
              <w:pStyle w:val="SITableBody"/>
            </w:pPr>
            <w:r>
              <w:t>Transport and Logistics</w:t>
            </w:r>
          </w:p>
        </w:tc>
      </w:tr>
      <w:tr w:rsidR="00705188" w:rsidRPr="00923A56" w14:paraId="2FC73784" w14:textId="77777777" w:rsidTr="007D53E9">
        <w:trPr>
          <w:trHeight w:val="20"/>
        </w:trPr>
        <w:tc>
          <w:tcPr>
            <w:tcW w:w="1226" w:type="pct"/>
          </w:tcPr>
          <w:p w14:paraId="6B2C415D" w14:textId="28F29B6F" w:rsidR="00705188" w:rsidRPr="00923A56" w:rsidRDefault="00705188" w:rsidP="00705188">
            <w:pPr>
              <w:pStyle w:val="SITableBody"/>
            </w:pPr>
            <w:r w:rsidRPr="001359F7">
              <w:rPr>
                <w:rFonts w:cs="Arial"/>
              </w:rPr>
              <w:t>TLIF2010</w:t>
            </w:r>
          </w:p>
        </w:tc>
        <w:tc>
          <w:tcPr>
            <w:tcW w:w="1887" w:type="pct"/>
          </w:tcPr>
          <w:p w14:paraId="1BD48D97" w14:textId="7E41A998" w:rsidR="00705188" w:rsidRPr="00923A56" w:rsidRDefault="00705188" w:rsidP="00705188">
            <w:pPr>
              <w:pStyle w:val="SITableBody"/>
            </w:pPr>
            <w:r w:rsidRPr="001359F7">
              <w:rPr>
                <w:rFonts w:cs="Arial"/>
                <w:color w:val="000000"/>
              </w:rPr>
              <w:t>Apply fatigue management strategies</w:t>
            </w:r>
          </w:p>
        </w:tc>
        <w:tc>
          <w:tcPr>
            <w:tcW w:w="1887" w:type="pct"/>
          </w:tcPr>
          <w:p w14:paraId="4448969F" w14:textId="38142CDF" w:rsidR="00705188" w:rsidRPr="00923A56" w:rsidRDefault="00705188" w:rsidP="00705188">
            <w:pPr>
              <w:pStyle w:val="SITableBody"/>
            </w:pPr>
            <w:r>
              <w:t>Transport and Logistics</w:t>
            </w:r>
          </w:p>
        </w:tc>
      </w:tr>
      <w:tr w:rsidR="00705188" w:rsidRPr="00923A56" w14:paraId="49A48D9F" w14:textId="77777777" w:rsidTr="007D53E9">
        <w:trPr>
          <w:trHeight w:val="20"/>
        </w:trPr>
        <w:tc>
          <w:tcPr>
            <w:tcW w:w="1226" w:type="pct"/>
          </w:tcPr>
          <w:p w14:paraId="75DCE3E0" w14:textId="790A3C34" w:rsidR="00705188" w:rsidRPr="00923A56" w:rsidRDefault="00705188" w:rsidP="00705188">
            <w:pPr>
              <w:pStyle w:val="SITableBody"/>
            </w:pPr>
            <w:r w:rsidRPr="001359F7">
              <w:rPr>
                <w:rFonts w:cs="Arial"/>
              </w:rPr>
              <w:t>TLIL0004</w:t>
            </w:r>
          </w:p>
        </w:tc>
        <w:tc>
          <w:tcPr>
            <w:tcW w:w="1887" w:type="pct"/>
          </w:tcPr>
          <w:p w14:paraId="361EECB4" w14:textId="18B484E3" w:rsidR="00705188" w:rsidRPr="00923A56" w:rsidRDefault="00705188" w:rsidP="00705188">
            <w:pPr>
              <w:pStyle w:val="SITableBody"/>
            </w:pPr>
            <w:r w:rsidRPr="001359F7">
              <w:rPr>
                <w:rFonts w:cs="Arial"/>
                <w:color w:val="213430"/>
              </w:rPr>
              <w:t>Apply conflict and grievance resolution strategies</w:t>
            </w:r>
          </w:p>
        </w:tc>
        <w:tc>
          <w:tcPr>
            <w:tcW w:w="1887" w:type="pct"/>
          </w:tcPr>
          <w:p w14:paraId="5B6B979F" w14:textId="605AC4D1" w:rsidR="00705188" w:rsidRPr="00923A56" w:rsidRDefault="00705188" w:rsidP="00705188">
            <w:pPr>
              <w:pStyle w:val="SITableBody"/>
            </w:pPr>
            <w:r>
              <w:t>Transport and Logistics</w:t>
            </w:r>
          </w:p>
        </w:tc>
      </w:tr>
      <w:tr w:rsidR="00705188" w:rsidRPr="00923A56" w14:paraId="299FD831" w14:textId="77777777" w:rsidTr="007D53E9">
        <w:trPr>
          <w:trHeight w:val="20"/>
        </w:trPr>
        <w:tc>
          <w:tcPr>
            <w:tcW w:w="1226" w:type="pct"/>
          </w:tcPr>
          <w:p w14:paraId="141C883F" w14:textId="153D634A" w:rsidR="00705188" w:rsidRPr="00923A56" w:rsidRDefault="00705188" w:rsidP="00705188">
            <w:pPr>
              <w:pStyle w:val="SITableBody"/>
            </w:pPr>
            <w:r w:rsidRPr="001359F7">
              <w:rPr>
                <w:rFonts w:cs="Arial"/>
              </w:rPr>
              <w:t>TLILIC0003</w:t>
            </w:r>
          </w:p>
        </w:tc>
        <w:tc>
          <w:tcPr>
            <w:tcW w:w="1887" w:type="pct"/>
          </w:tcPr>
          <w:p w14:paraId="25A3A6E4" w14:textId="6F16CDCB" w:rsidR="00705188" w:rsidRPr="00923A56" w:rsidRDefault="00705188" w:rsidP="00705188">
            <w:pPr>
              <w:pStyle w:val="SITableBody"/>
            </w:pPr>
            <w:r w:rsidRPr="001359F7">
              <w:rPr>
                <w:rFonts w:cs="Arial"/>
              </w:rPr>
              <w:t>Licence to operate a forklift truck</w:t>
            </w:r>
          </w:p>
        </w:tc>
        <w:tc>
          <w:tcPr>
            <w:tcW w:w="1887" w:type="pct"/>
          </w:tcPr>
          <w:p w14:paraId="12462FAE" w14:textId="58E1E2A0" w:rsidR="00705188" w:rsidRPr="00923A56" w:rsidRDefault="00705188" w:rsidP="00705188">
            <w:pPr>
              <w:pStyle w:val="SITableBody"/>
            </w:pPr>
            <w:r>
              <w:t>Transport and Logistics</w:t>
            </w:r>
          </w:p>
        </w:tc>
      </w:tr>
      <w:tr w:rsidR="00705188" w:rsidRPr="00923A56" w14:paraId="1102EA5C" w14:textId="77777777" w:rsidTr="007D53E9">
        <w:trPr>
          <w:trHeight w:val="20"/>
        </w:trPr>
        <w:tc>
          <w:tcPr>
            <w:tcW w:w="1226" w:type="pct"/>
          </w:tcPr>
          <w:p w14:paraId="6C2D888A" w14:textId="6CBFF3F5" w:rsidR="00705188" w:rsidRPr="00923A56" w:rsidRDefault="00705188" w:rsidP="00705188">
            <w:pPr>
              <w:pStyle w:val="SITableBody"/>
            </w:pPr>
            <w:r w:rsidRPr="001359F7">
              <w:rPr>
                <w:rFonts w:cs="Arial"/>
              </w:rPr>
              <w:t>TLILIC2016</w:t>
            </w:r>
          </w:p>
        </w:tc>
        <w:tc>
          <w:tcPr>
            <w:tcW w:w="1887" w:type="pct"/>
          </w:tcPr>
          <w:p w14:paraId="29DBF54B" w14:textId="1AFEE40F" w:rsidR="00705188" w:rsidRPr="00923A56" w:rsidRDefault="00705188" w:rsidP="00705188">
            <w:pPr>
              <w:pStyle w:val="SITableBody"/>
            </w:pPr>
            <w:r w:rsidRPr="001359F7">
              <w:rPr>
                <w:rFonts w:cs="Arial"/>
              </w:rPr>
              <w:t>Licence to drive a heavy rigid vehicle</w:t>
            </w:r>
          </w:p>
        </w:tc>
        <w:tc>
          <w:tcPr>
            <w:tcW w:w="1887" w:type="pct"/>
          </w:tcPr>
          <w:p w14:paraId="765E0C18" w14:textId="3F7FD636" w:rsidR="00705188" w:rsidRPr="00923A56" w:rsidRDefault="00705188" w:rsidP="00705188">
            <w:pPr>
              <w:pStyle w:val="SITableBody"/>
            </w:pPr>
            <w:r>
              <w:t>Transport and Logistics</w:t>
            </w:r>
          </w:p>
        </w:tc>
      </w:tr>
      <w:tr w:rsidR="00705188" w:rsidRPr="00923A56" w14:paraId="6C156880" w14:textId="77777777" w:rsidTr="007D53E9">
        <w:trPr>
          <w:trHeight w:val="20"/>
        </w:trPr>
        <w:tc>
          <w:tcPr>
            <w:tcW w:w="1226" w:type="pct"/>
          </w:tcPr>
          <w:p w14:paraId="0BBAC91D" w14:textId="2649A964" w:rsidR="00705188" w:rsidRPr="00923A56" w:rsidRDefault="00705188" w:rsidP="00705188">
            <w:pPr>
              <w:pStyle w:val="SITableBody"/>
            </w:pPr>
            <w:r w:rsidRPr="001359F7">
              <w:rPr>
                <w:rFonts w:cs="Arial"/>
              </w:rPr>
              <w:t>TLIPC0002</w:t>
            </w:r>
          </w:p>
        </w:tc>
        <w:tc>
          <w:tcPr>
            <w:tcW w:w="1887" w:type="pct"/>
          </w:tcPr>
          <w:p w14:paraId="17C21C7A" w14:textId="72F417A6" w:rsidR="00705188" w:rsidRPr="00923A56" w:rsidRDefault="00705188" w:rsidP="00705188">
            <w:pPr>
              <w:pStyle w:val="SITableBody"/>
            </w:pPr>
            <w:r w:rsidRPr="001359F7">
              <w:rPr>
                <w:rFonts w:cs="Arial"/>
              </w:rPr>
              <w:t>Plan and prepare to work in a supply chain environment</w:t>
            </w:r>
          </w:p>
        </w:tc>
        <w:tc>
          <w:tcPr>
            <w:tcW w:w="1887" w:type="pct"/>
          </w:tcPr>
          <w:p w14:paraId="0CCB3DFA" w14:textId="193C2F99" w:rsidR="00705188" w:rsidRPr="00923A56" w:rsidRDefault="00705188" w:rsidP="00705188">
            <w:pPr>
              <w:pStyle w:val="SITableBody"/>
            </w:pPr>
            <w:r>
              <w:t>Transport and Logistics</w:t>
            </w:r>
          </w:p>
        </w:tc>
      </w:tr>
      <w:tr w:rsidR="00705188" w:rsidRPr="00923A56" w14:paraId="55BE0147" w14:textId="77777777" w:rsidTr="007D53E9">
        <w:trPr>
          <w:trHeight w:val="20"/>
        </w:trPr>
        <w:tc>
          <w:tcPr>
            <w:tcW w:w="1226" w:type="pct"/>
          </w:tcPr>
          <w:p w14:paraId="2A864CB7" w14:textId="34FAB076" w:rsidR="00705188" w:rsidRPr="00923A56" w:rsidRDefault="00705188" w:rsidP="00705188">
            <w:pPr>
              <w:pStyle w:val="SITableBody"/>
            </w:pPr>
            <w:r w:rsidRPr="001359F7">
              <w:rPr>
                <w:rFonts w:cs="Arial"/>
              </w:rPr>
              <w:t>TLIP0010</w:t>
            </w:r>
          </w:p>
        </w:tc>
        <w:tc>
          <w:tcPr>
            <w:tcW w:w="1887" w:type="pct"/>
          </w:tcPr>
          <w:p w14:paraId="7D39DCEC" w14:textId="10507B55" w:rsidR="00705188" w:rsidRPr="00923A56" w:rsidRDefault="00705188" w:rsidP="00705188">
            <w:pPr>
              <w:pStyle w:val="SITableBody"/>
            </w:pPr>
            <w:r w:rsidRPr="001359F7">
              <w:rPr>
                <w:rFonts w:cs="Arial"/>
              </w:rPr>
              <w:t>Monitor a supply chain operation</w:t>
            </w:r>
          </w:p>
        </w:tc>
        <w:tc>
          <w:tcPr>
            <w:tcW w:w="1887" w:type="pct"/>
          </w:tcPr>
          <w:p w14:paraId="2FDD3EC6" w14:textId="7A9824E5" w:rsidR="00705188" w:rsidRPr="00923A56" w:rsidRDefault="00705188" w:rsidP="00705188">
            <w:pPr>
              <w:pStyle w:val="SITableBody"/>
            </w:pPr>
            <w:r>
              <w:t>Transport and Logistics</w:t>
            </w:r>
          </w:p>
        </w:tc>
      </w:tr>
      <w:tr w:rsidR="00705188" w:rsidRPr="00923A56" w14:paraId="158F7E54" w14:textId="77777777" w:rsidTr="007D53E9">
        <w:trPr>
          <w:trHeight w:val="20"/>
        </w:trPr>
        <w:tc>
          <w:tcPr>
            <w:tcW w:w="1226" w:type="pct"/>
          </w:tcPr>
          <w:p w14:paraId="628C594A" w14:textId="39CC6E29" w:rsidR="00705188" w:rsidRPr="00923A56" w:rsidRDefault="00705188" w:rsidP="00705188">
            <w:pPr>
              <w:pStyle w:val="SITableBody"/>
            </w:pPr>
            <w:r w:rsidRPr="001359F7">
              <w:rPr>
                <w:rFonts w:cs="Arial"/>
              </w:rPr>
              <w:t>TLIX0013X</w:t>
            </w:r>
          </w:p>
        </w:tc>
        <w:tc>
          <w:tcPr>
            <w:tcW w:w="1887" w:type="pct"/>
          </w:tcPr>
          <w:p w14:paraId="3D4A5768" w14:textId="72AAF63B" w:rsidR="00705188" w:rsidRPr="00923A56" w:rsidRDefault="00705188" w:rsidP="00705188">
            <w:pPr>
              <w:pStyle w:val="SITableBody"/>
            </w:pPr>
            <w:r w:rsidRPr="001359F7">
              <w:rPr>
                <w:rFonts w:cs="Arial"/>
                <w:color w:val="213430"/>
              </w:rPr>
              <w:t>Maintain stock control and receivals</w:t>
            </w:r>
          </w:p>
        </w:tc>
        <w:tc>
          <w:tcPr>
            <w:tcW w:w="1887" w:type="pct"/>
          </w:tcPr>
          <w:p w14:paraId="6807FD5B" w14:textId="23B51F62" w:rsidR="00705188" w:rsidRPr="00923A56" w:rsidRDefault="00705188" w:rsidP="00705188">
            <w:pPr>
              <w:pStyle w:val="SITableBody"/>
            </w:pPr>
            <w:r>
              <w:t>Transport and Logistics</w:t>
            </w:r>
          </w:p>
        </w:tc>
      </w:tr>
    </w:tbl>
    <w:p w14:paraId="1A7DC359" w14:textId="77777777" w:rsidR="00A12134" w:rsidRDefault="00A12134" w:rsidP="00EB6CF4">
      <w:pPr>
        <w:pStyle w:val="BodyTextSI"/>
      </w:pPr>
    </w:p>
    <w:p w14:paraId="7FFD2BCD" w14:textId="67A07D11" w:rsidR="0008014B" w:rsidRDefault="0008014B" w:rsidP="00EB6CF4">
      <w:pPr>
        <w:pStyle w:val="Heading1SI"/>
      </w:pPr>
      <w:r>
        <w:lastRenderedPageBreak/>
        <w:t>Mapping informatio</w:t>
      </w:r>
      <w:bookmarkEnd w:id="20"/>
      <w:r w:rsidR="00EB6CF4">
        <w:t>n</w:t>
      </w:r>
    </w:p>
    <w:p w14:paraId="2E864CBD" w14:textId="77777777" w:rsidR="0008014B" w:rsidRDefault="0008014B" w:rsidP="00C03F7D">
      <w:pPr>
        <w:pStyle w:val="Heading3SI"/>
      </w:pPr>
      <w:bookmarkStart w:id="26" w:name="_Toc144980748"/>
      <w:r>
        <w:t>Qualifications</w:t>
      </w:r>
      <w:bookmarkEnd w:id="26"/>
    </w:p>
    <w:p w14:paraId="6D161746" w14:textId="18FC229E" w:rsidR="00BB1335" w:rsidRPr="005E125D" w:rsidRDefault="00BB1335" w:rsidP="00BB1335">
      <w:pPr>
        <w:spacing w:after="120" w:line="276" w:lineRule="auto"/>
        <w:contextualSpacing/>
        <w:rPr>
          <w:rFonts w:ascii="Avenir Book" w:eastAsia="Avenir Next LT Pro" w:hAnsi="Avenir Book" w:cs="Times New Roman"/>
          <w:color w:val="1E3531"/>
        </w:rPr>
      </w:pPr>
      <w:r w:rsidRPr="009E684F">
        <w:rPr>
          <w:rFonts w:ascii="Avenir Book" w:eastAsia="Avenir Next LT Pro" w:hAnsi="Avenir Book" w:cs="Times New Roman"/>
          <w:i/>
          <w:iCs/>
          <w:color w:val="1E3531"/>
        </w:rPr>
        <w:t>Mapping of qualifications from</w:t>
      </w:r>
      <w:r w:rsidRPr="005E125D">
        <w:rPr>
          <w:rFonts w:ascii="Avenir Book" w:eastAsia="Avenir Next LT Pro" w:hAnsi="Avenir Book" w:cs="Times New Roman"/>
          <w:color w:val="1E3531"/>
        </w:rPr>
        <w:t xml:space="preserve"> </w:t>
      </w:r>
      <w:r w:rsidR="002F448E" w:rsidRPr="004A6C1D">
        <w:rPr>
          <w:rFonts w:ascii="Avenir Book" w:eastAsia="Avenir Next LT Pro" w:hAnsi="Avenir Book" w:cs="Times New Roman"/>
          <w:i/>
          <w:iCs/>
          <w:color w:val="1E3531"/>
        </w:rPr>
        <w:t>AHC Agriculture, Horticulture and Conservation and Land Management Training Package</w:t>
      </w:r>
      <w:r w:rsidRPr="004A6C1D">
        <w:rPr>
          <w:rFonts w:ascii="Avenir Book" w:eastAsia="Avenir Next LT Pro" w:hAnsi="Avenir Book" w:cs="Times New Roman"/>
          <w:i/>
          <w:iCs/>
          <w:color w:val="1E3531"/>
        </w:rPr>
        <w:t xml:space="preserve"> Training Package Release </w:t>
      </w:r>
      <w:r w:rsidR="002F448E" w:rsidRPr="004A6C1D">
        <w:rPr>
          <w:rFonts w:ascii="Avenir Book" w:eastAsia="Avenir Next LT Pro" w:hAnsi="Avenir Book" w:cs="Times New Roman"/>
          <w:i/>
          <w:iCs/>
          <w:color w:val="1E3531"/>
        </w:rPr>
        <w:t>12.0</w:t>
      </w:r>
      <w:r w:rsidRPr="005E125D">
        <w:rPr>
          <w:rFonts w:ascii="Avenir Book" w:eastAsia="Avenir Next LT Pro" w:hAnsi="Avenir Book" w:cs="Times New Roman"/>
          <w:color w:val="1E3531"/>
        </w:rPr>
        <w:t xml:space="preserve"> to</w:t>
      </w:r>
      <w:r w:rsidR="002F448E" w:rsidRPr="002F448E">
        <w:t xml:space="preserve"> </w:t>
      </w:r>
      <w:r w:rsidR="002F448E" w:rsidRPr="004A6C1D">
        <w:rPr>
          <w:rFonts w:ascii="Avenir Book" w:eastAsia="Avenir Next LT Pro" w:hAnsi="Avenir Book" w:cs="Times New Roman"/>
          <w:i/>
          <w:iCs/>
          <w:color w:val="1E3531"/>
        </w:rPr>
        <w:t>AHC Agriculture, Horticulture and Conservation and Land Management Training Package</w:t>
      </w:r>
      <w:r w:rsidR="004A6C1D" w:rsidRPr="004A6C1D">
        <w:rPr>
          <w:rFonts w:ascii="Avenir Book" w:eastAsia="Avenir Next LT Pro" w:hAnsi="Avenir Book" w:cs="Times New Roman"/>
          <w:i/>
          <w:iCs/>
          <w:color w:val="1E3531"/>
        </w:rPr>
        <w:t xml:space="preserve"> Release 13.0</w:t>
      </w:r>
    </w:p>
    <w:tbl>
      <w:tblPr>
        <w:tblStyle w:val="TableGrid"/>
        <w:tblW w:w="5000" w:type="pct"/>
        <w:tblBorders>
          <w:top w:val="single" w:sz="4" w:space="0" w:color="4C7D2C"/>
          <w:left w:val="none" w:sz="0" w:space="0" w:color="auto"/>
          <w:bottom w:val="single" w:sz="4" w:space="0" w:color="4C7D2C"/>
          <w:right w:val="none" w:sz="0" w:space="0" w:color="auto"/>
          <w:insideH w:val="single" w:sz="4" w:space="0" w:color="4C7D2C"/>
          <w:insideV w:val="none" w:sz="0" w:space="0" w:color="auto"/>
        </w:tblBorders>
        <w:tblLook w:val="04A0" w:firstRow="1" w:lastRow="0" w:firstColumn="1" w:lastColumn="0" w:noHBand="0" w:noVBand="1"/>
      </w:tblPr>
      <w:tblGrid>
        <w:gridCol w:w="1883"/>
        <w:gridCol w:w="1882"/>
        <w:gridCol w:w="3765"/>
        <w:gridCol w:w="1882"/>
      </w:tblGrid>
      <w:tr w:rsidR="0008014B" w:rsidRPr="005E125D" w14:paraId="5905BB10" w14:textId="77777777" w:rsidTr="00A55E66">
        <w:trPr>
          <w:tblHeader/>
        </w:trPr>
        <w:tc>
          <w:tcPr>
            <w:tcW w:w="1000" w:type="pct"/>
            <w:tcBorders>
              <w:top w:val="single" w:sz="18" w:space="0" w:color="4C7D2C"/>
              <w:bottom w:val="single" w:sz="18" w:space="0" w:color="4C7D2C"/>
            </w:tcBorders>
          </w:tcPr>
          <w:p w14:paraId="713AAC79" w14:textId="04395928" w:rsidR="0008014B" w:rsidRPr="005E125D" w:rsidRDefault="0008014B" w:rsidP="00A55E66">
            <w:pPr>
              <w:spacing w:before="200" w:after="200"/>
              <w:rPr>
                <w:rFonts w:ascii="Avenir Book" w:eastAsia="Avenir Next LT Pro" w:hAnsi="Avenir Book" w:cs="Times New Roman"/>
                <w:b/>
                <w:bCs/>
                <w:color w:val="4C7D2C"/>
              </w:rPr>
            </w:pPr>
            <w:r w:rsidRPr="005E125D">
              <w:rPr>
                <w:rFonts w:ascii="Avenir Book" w:eastAsia="Avenir Next LT Pro" w:hAnsi="Avenir Book" w:cs="Times New Roman"/>
                <w:b/>
                <w:bCs/>
                <w:color w:val="4C7D2C"/>
              </w:rPr>
              <w:t>Code and title AHC R</w:t>
            </w:r>
            <w:r w:rsidR="009556D2">
              <w:rPr>
                <w:rFonts w:ascii="Avenir Book" w:eastAsia="Avenir Next LT Pro" w:hAnsi="Avenir Book" w:cs="Times New Roman"/>
                <w:b/>
                <w:bCs/>
                <w:color w:val="4C7D2C"/>
              </w:rPr>
              <w:t>12</w:t>
            </w:r>
            <w:r w:rsidRPr="005E125D">
              <w:rPr>
                <w:rFonts w:ascii="Avenir Book" w:eastAsia="Avenir Next LT Pro" w:hAnsi="Avenir Book" w:cs="Times New Roman"/>
                <w:b/>
                <w:bCs/>
                <w:color w:val="4C7D2C"/>
              </w:rPr>
              <w:t>.0</w:t>
            </w:r>
          </w:p>
        </w:tc>
        <w:tc>
          <w:tcPr>
            <w:tcW w:w="1000" w:type="pct"/>
            <w:tcBorders>
              <w:top w:val="single" w:sz="18" w:space="0" w:color="4C7D2C"/>
              <w:bottom w:val="single" w:sz="18" w:space="0" w:color="4C7D2C"/>
            </w:tcBorders>
          </w:tcPr>
          <w:p w14:paraId="72F79889" w14:textId="561DE03D" w:rsidR="0008014B" w:rsidRPr="005E125D" w:rsidRDefault="0008014B" w:rsidP="00A55E66">
            <w:pPr>
              <w:spacing w:before="200" w:after="200"/>
              <w:rPr>
                <w:rFonts w:ascii="Avenir Book" w:eastAsia="Avenir Next LT Pro" w:hAnsi="Avenir Book" w:cs="Times New Roman"/>
                <w:b/>
                <w:bCs/>
                <w:color w:val="4C7D2C"/>
              </w:rPr>
            </w:pPr>
            <w:r w:rsidRPr="005E125D">
              <w:rPr>
                <w:rFonts w:ascii="Avenir Book" w:eastAsia="Avenir Next LT Pro" w:hAnsi="Avenir Book" w:cs="Times New Roman"/>
                <w:b/>
                <w:bCs/>
                <w:color w:val="4C7D2C"/>
              </w:rPr>
              <w:t>Code and title AHC R1</w:t>
            </w:r>
            <w:r w:rsidR="009556D2">
              <w:rPr>
                <w:rFonts w:ascii="Avenir Book" w:eastAsia="Avenir Next LT Pro" w:hAnsi="Avenir Book" w:cs="Times New Roman"/>
                <w:b/>
                <w:bCs/>
                <w:color w:val="4C7D2C"/>
              </w:rPr>
              <w:t>3</w:t>
            </w:r>
            <w:r w:rsidRPr="005E125D">
              <w:rPr>
                <w:rFonts w:ascii="Avenir Book" w:eastAsia="Avenir Next LT Pro" w:hAnsi="Avenir Book" w:cs="Times New Roman"/>
                <w:b/>
                <w:bCs/>
                <w:color w:val="4C7D2C"/>
              </w:rPr>
              <w:t>.0</w:t>
            </w:r>
          </w:p>
        </w:tc>
        <w:tc>
          <w:tcPr>
            <w:tcW w:w="2000" w:type="pct"/>
            <w:tcBorders>
              <w:top w:val="single" w:sz="18" w:space="0" w:color="4C7D2C"/>
              <w:bottom w:val="single" w:sz="18" w:space="0" w:color="4C7D2C"/>
            </w:tcBorders>
          </w:tcPr>
          <w:p w14:paraId="1FA3C645" w14:textId="77777777" w:rsidR="0008014B" w:rsidRPr="005E125D" w:rsidRDefault="0008014B" w:rsidP="00A55E66">
            <w:pPr>
              <w:spacing w:before="200" w:after="200"/>
              <w:rPr>
                <w:rFonts w:ascii="Avenir Book" w:eastAsia="Avenir Next LT Pro" w:hAnsi="Avenir Book" w:cs="Times New Roman"/>
                <w:b/>
                <w:bCs/>
                <w:color w:val="4C7D2C"/>
              </w:rPr>
            </w:pPr>
            <w:r w:rsidRPr="005E125D">
              <w:rPr>
                <w:rFonts w:ascii="Avenir Book" w:eastAsia="Avenir Next LT Pro" w:hAnsi="Avenir Book" w:cs="Times New Roman"/>
                <w:b/>
                <w:bCs/>
                <w:color w:val="4C7D2C"/>
              </w:rPr>
              <w:t>Comments</w:t>
            </w:r>
          </w:p>
        </w:tc>
        <w:tc>
          <w:tcPr>
            <w:tcW w:w="1000" w:type="pct"/>
            <w:tcBorders>
              <w:top w:val="single" w:sz="18" w:space="0" w:color="4C7D2C"/>
              <w:bottom w:val="single" w:sz="18" w:space="0" w:color="4C7D2C"/>
            </w:tcBorders>
          </w:tcPr>
          <w:p w14:paraId="68F9FA57" w14:textId="77777777" w:rsidR="0008014B" w:rsidRPr="005E125D" w:rsidRDefault="0008014B" w:rsidP="00A55E66">
            <w:pPr>
              <w:spacing w:before="200" w:after="200"/>
              <w:rPr>
                <w:rFonts w:ascii="Avenir Book" w:eastAsia="Avenir Next LT Pro" w:hAnsi="Avenir Book" w:cs="Times New Roman"/>
                <w:b/>
                <w:bCs/>
                <w:color w:val="4C7D2C"/>
              </w:rPr>
            </w:pPr>
            <w:r w:rsidRPr="005E125D">
              <w:rPr>
                <w:rFonts w:ascii="Avenir Book" w:eastAsia="Avenir Next LT Pro" w:hAnsi="Avenir Book" w:cs="Times New Roman"/>
                <w:b/>
                <w:bCs/>
                <w:color w:val="4C7D2C"/>
              </w:rPr>
              <w:t>Equivalence status</w:t>
            </w:r>
          </w:p>
        </w:tc>
      </w:tr>
      <w:tr w:rsidR="00705188" w:rsidRPr="005E125D" w14:paraId="62FDE6FD" w14:textId="77777777" w:rsidTr="00A55E66">
        <w:tc>
          <w:tcPr>
            <w:tcW w:w="1000" w:type="pct"/>
            <w:tcBorders>
              <w:top w:val="single" w:sz="18" w:space="0" w:color="4C7D2C"/>
              <w:bottom w:val="single" w:sz="18" w:space="0" w:color="4C7D2C"/>
            </w:tcBorders>
          </w:tcPr>
          <w:p w14:paraId="4BE63E63" w14:textId="363F04BE" w:rsidR="00705188" w:rsidRPr="005E125D" w:rsidRDefault="00705188" w:rsidP="00705188">
            <w:pPr>
              <w:pStyle w:val="SITableBody"/>
              <w:rPr>
                <w:rFonts w:eastAsia="Avenir Next LT Pro" w:cs="Times New Roman"/>
              </w:rPr>
            </w:pPr>
            <w:r>
              <w:rPr>
                <w:rFonts w:eastAsia="Avenir Next LT Pro" w:cs="Times New Roman"/>
              </w:rPr>
              <w:t>Not applicable</w:t>
            </w:r>
          </w:p>
        </w:tc>
        <w:tc>
          <w:tcPr>
            <w:tcW w:w="1000" w:type="pct"/>
            <w:tcBorders>
              <w:top w:val="single" w:sz="18" w:space="0" w:color="4C7D2C"/>
              <w:bottom w:val="single" w:sz="18" w:space="0" w:color="4C7D2C"/>
            </w:tcBorders>
          </w:tcPr>
          <w:p w14:paraId="5AF4332E" w14:textId="3DE9F038" w:rsidR="00705188" w:rsidRPr="005E125D" w:rsidRDefault="00705188" w:rsidP="00705188">
            <w:pPr>
              <w:pStyle w:val="SITableBody"/>
              <w:rPr>
                <w:rFonts w:eastAsia="Avenir Next LT Pro" w:cs="Times New Roman"/>
              </w:rPr>
            </w:pPr>
            <w:r>
              <w:rPr>
                <w:rFonts w:eastAsia="Avenir Next LT Pro" w:cs="Times New Roman"/>
              </w:rPr>
              <w:t>AHC3XX27 Certificate III in Agricultural Production</w:t>
            </w:r>
          </w:p>
        </w:tc>
        <w:tc>
          <w:tcPr>
            <w:tcW w:w="2000" w:type="pct"/>
            <w:tcBorders>
              <w:top w:val="single" w:sz="18" w:space="0" w:color="4C7D2C"/>
              <w:bottom w:val="single" w:sz="18" w:space="0" w:color="4C7D2C"/>
            </w:tcBorders>
          </w:tcPr>
          <w:p w14:paraId="74564186" w14:textId="52B15A1A" w:rsidR="00705188" w:rsidRPr="005E125D" w:rsidRDefault="00705188" w:rsidP="00705188">
            <w:pPr>
              <w:pStyle w:val="SITableBody"/>
              <w:rPr>
                <w:rFonts w:eastAsia="Avenir Next LT Pro" w:cs="Times New Roman"/>
              </w:rPr>
            </w:pPr>
            <w:r>
              <w:rPr>
                <w:rFonts w:eastAsia="Avenir Next LT Pro" w:cs="Times New Roman"/>
              </w:rPr>
              <w:t>New qualification</w:t>
            </w:r>
          </w:p>
        </w:tc>
        <w:tc>
          <w:tcPr>
            <w:tcW w:w="1000" w:type="pct"/>
            <w:tcBorders>
              <w:top w:val="single" w:sz="18" w:space="0" w:color="4C7D2C"/>
              <w:bottom w:val="single" w:sz="18" w:space="0" w:color="4C7D2C"/>
            </w:tcBorders>
          </w:tcPr>
          <w:p w14:paraId="2C1CABF7" w14:textId="78DA7567" w:rsidR="00705188" w:rsidRPr="005E125D" w:rsidRDefault="00705188" w:rsidP="00705188">
            <w:pPr>
              <w:pStyle w:val="SITableBody"/>
              <w:rPr>
                <w:rFonts w:eastAsia="Avenir Next LT Pro" w:cs="Times New Roman"/>
              </w:rPr>
            </w:pPr>
            <w:r>
              <w:rPr>
                <w:rFonts w:eastAsia="Avenir Next LT Pro" w:cs="Times New Roman"/>
              </w:rPr>
              <w:t>Newly created</w:t>
            </w:r>
          </w:p>
        </w:tc>
      </w:tr>
    </w:tbl>
    <w:p w14:paraId="17131DE6" w14:textId="77777777" w:rsidR="0008014B" w:rsidRDefault="0008014B" w:rsidP="001613DA">
      <w:pPr>
        <w:pStyle w:val="BodyTextSI"/>
      </w:pPr>
    </w:p>
    <w:p w14:paraId="536EBCF2" w14:textId="77777777" w:rsidR="0008014B" w:rsidRDefault="0008014B" w:rsidP="00C03F7D">
      <w:pPr>
        <w:pStyle w:val="Heading3SI"/>
      </w:pPr>
      <w:bookmarkStart w:id="27" w:name="_Toc144980776"/>
      <w:r>
        <w:t>Units of Competency</w:t>
      </w:r>
      <w:bookmarkEnd w:id="27"/>
    </w:p>
    <w:p w14:paraId="4F5D0825" w14:textId="22587946" w:rsidR="0008014B" w:rsidRDefault="0008014B" w:rsidP="0008014B">
      <w:pPr>
        <w:pStyle w:val="DotpointsSI"/>
        <w:numPr>
          <w:ilvl w:val="0"/>
          <w:numId w:val="0"/>
        </w:numPr>
      </w:pPr>
      <w:r>
        <w:t xml:space="preserve">Mapping of units of competency from </w:t>
      </w:r>
      <w:r w:rsidR="004A6C1D" w:rsidRPr="004A6C1D">
        <w:rPr>
          <w:rFonts w:eastAsia="Avenir Next LT Pro" w:cs="Times New Roman"/>
          <w:i/>
          <w:iCs/>
        </w:rPr>
        <w:t>AHC Agriculture, Horticulture and Conservation and Land Management Training Package Training Package Release 12.0</w:t>
      </w:r>
      <w:r w:rsidR="004A6C1D" w:rsidRPr="005E125D">
        <w:rPr>
          <w:rFonts w:eastAsia="Avenir Next LT Pro" w:cs="Times New Roman"/>
        </w:rPr>
        <w:t xml:space="preserve"> to</w:t>
      </w:r>
      <w:r w:rsidR="004A6C1D" w:rsidRPr="002F448E">
        <w:t xml:space="preserve"> </w:t>
      </w:r>
      <w:r w:rsidR="004A6C1D" w:rsidRPr="004A6C1D">
        <w:rPr>
          <w:rFonts w:eastAsia="Avenir Next LT Pro" w:cs="Times New Roman"/>
          <w:i/>
          <w:iCs/>
        </w:rPr>
        <w:t>AHC Agriculture, Horticulture and Conservation and Land Management Training Package Release 13.0</w:t>
      </w:r>
    </w:p>
    <w:tbl>
      <w:tblPr>
        <w:tblStyle w:val="TableGrid"/>
        <w:tblW w:w="5000" w:type="pct"/>
        <w:tblBorders>
          <w:top w:val="single" w:sz="4" w:space="0" w:color="4C7D2C"/>
          <w:left w:val="none" w:sz="0" w:space="0" w:color="auto"/>
          <w:bottom w:val="single" w:sz="4" w:space="0" w:color="4C7D2C"/>
          <w:right w:val="none" w:sz="0" w:space="0" w:color="auto"/>
          <w:insideH w:val="single" w:sz="4" w:space="0" w:color="4C7D2C"/>
          <w:insideV w:val="none" w:sz="0" w:space="0" w:color="auto"/>
        </w:tblBorders>
        <w:tblLook w:val="04A0" w:firstRow="1" w:lastRow="0" w:firstColumn="1" w:lastColumn="0" w:noHBand="0" w:noVBand="1"/>
      </w:tblPr>
      <w:tblGrid>
        <w:gridCol w:w="1702"/>
        <w:gridCol w:w="2227"/>
        <w:gridCol w:w="3674"/>
        <w:gridCol w:w="1809"/>
      </w:tblGrid>
      <w:tr w:rsidR="00243BA8" w:rsidRPr="005E125D" w14:paraId="0BDCCBEA" w14:textId="77777777" w:rsidTr="009556D2">
        <w:trPr>
          <w:tblHeader/>
        </w:trPr>
        <w:tc>
          <w:tcPr>
            <w:tcW w:w="904" w:type="pct"/>
            <w:tcBorders>
              <w:top w:val="single" w:sz="18" w:space="0" w:color="4C7D2C"/>
              <w:bottom w:val="single" w:sz="18" w:space="0" w:color="4C7D2C"/>
            </w:tcBorders>
          </w:tcPr>
          <w:p w14:paraId="3F0E47E3" w14:textId="27DD2984" w:rsidR="0008014B" w:rsidRPr="005E125D" w:rsidRDefault="0008014B" w:rsidP="00A55E66">
            <w:pPr>
              <w:spacing w:before="200" w:after="200"/>
              <w:rPr>
                <w:rFonts w:ascii="Avenir Book" w:eastAsia="Avenir Next LT Pro" w:hAnsi="Avenir Book" w:cs="Times New Roman"/>
                <w:b/>
                <w:bCs/>
                <w:color w:val="4C7D2C"/>
              </w:rPr>
            </w:pPr>
            <w:r w:rsidRPr="005E125D">
              <w:rPr>
                <w:rFonts w:ascii="Avenir Book" w:eastAsia="Avenir Next LT Pro" w:hAnsi="Avenir Book" w:cs="Times New Roman"/>
                <w:b/>
                <w:bCs/>
                <w:color w:val="4C7D2C"/>
              </w:rPr>
              <w:t xml:space="preserve">Code and title </w:t>
            </w:r>
            <w:r w:rsidR="009556D2">
              <w:rPr>
                <w:rFonts w:ascii="Avenir Book" w:eastAsia="Avenir Next LT Pro" w:hAnsi="Avenir Book" w:cs="Times New Roman"/>
                <w:b/>
                <w:bCs/>
                <w:color w:val="4C7D2C"/>
              </w:rPr>
              <w:t>AHC R12.0</w:t>
            </w:r>
          </w:p>
        </w:tc>
        <w:tc>
          <w:tcPr>
            <w:tcW w:w="1183" w:type="pct"/>
            <w:tcBorders>
              <w:top w:val="single" w:sz="18" w:space="0" w:color="4C7D2C"/>
              <w:bottom w:val="single" w:sz="18" w:space="0" w:color="4C7D2C"/>
            </w:tcBorders>
          </w:tcPr>
          <w:p w14:paraId="21E89E24" w14:textId="3EB40B96" w:rsidR="0008014B" w:rsidRPr="005E125D" w:rsidRDefault="0008014B" w:rsidP="00A55E66">
            <w:pPr>
              <w:spacing w:before="200" w:after="200"/>
              <w:rPr>
                <w:rFonts w:ascii="Avenir Book" w:eastAsia="Avenir Next LT Pro" w:hAnsi="Avenir Book" w:cs="Times New Roman"/>
                <w:b/>
                <w:bCs/>
                <w:color w:val="4C7D2C"/>
              </w:rPr>
            </w:pPr>
            <w:r w:rsidRPr="005E125D">
              <w:rPr>
                <w:rFonts w:ascii="Avenir Book" w:eastAsia="Avenir Next LT Pro" w:hAnsi="Avenir Book" w:cs="Times New Roman"/>
                <w:b/>
                <w:bCs/>
                <w:color w:val="4C7D2C"/>
              </w:rPr>
              <w:t xml:space="preserve">Code and title </w:t>
            </w:r>
            <w:r w:rsidR="009556D2">
              <w:rPr>
                <w:rFonts w:ascii="Avenir Book" w:eastAsia="Avenir Next LT Pro" w:hAnsi="Avenir Book" w:cs="Times New Roman"/>
                <w:b/>
                <w:bCs/>
                <w:color w:val="4C7D2C"/>
              </w:rPr>
              <w:t>AHC R13.0</w:t>
            </w:r>
          </w:p>
        </w:tc>
        <w:tc>
          <w:tcPr>
            <w:tcW w:w="1952" w:type="pct"/>
            <w:tcBorders>
              <w:top w:val="single" w:sz="18" w:space="0" w:color="4C7D2C"/>
              <w:bottom w:val="single" w:sz="18" w:space="0" w:color="4C7D2C"/>
            </w:tcBorders>
          </w:tcPr>
          <w:p w14:paraId="74079A46" w14:textId="77777777" w:rsidR="0008014B" w:rsidRPr="005E125D" w:rsidRDefault="0008014B" w:rsidP="00A55E66">
            <w:pPr>
              <w:spacing w:before="200" w:after="200"/>
              <w:rPr>
                <w:rFonts w:ascii="Avenir Book" w:eastAsia="Avenir Next LT Pro" w:hAnsi="Avenir Book" w:cs="Times New Roman"/>
                <w:b/>
                <w:bCs/>
                <w:color w:val="4C7D2C"/>
              </w:rPr>
            </w:pPr>
            <w:r w:rsidRPr="005E125D">
              <w:rPr>
                <w:rFonts w:ascii="Avenir Book" w:eastAsia="Avenir Next LT Pro" w:hAnsi="Avenir Book" w:cs="Times New Roman"/>
                <w:b/>
                <w:bCs/>
                <w:color w:val="4C7D2C"/>
              </w:rPr>
              <w:t>Comments</w:t>
            </w:r>
          </w:p>
        </w:tc>
        <w:tc>
          <w:tcPr>
            <w:tcW w:w="961" w:type="pct"/>
            <w:tcBorders>
              <w:top w:val="single" w:sz="18" w:space="0" w:color="4C7D2C"/>
              <w:bottom w:val="single" w:sz="18" w:space="0" w:color="4C7D2C"/>
            </w:tcBorders>
          </w:tcPr>
          <w:p w14:paraId="62B66F68" w14:textId="77777777" w:rsidR="0008014B" w:rsidRPr="005E125D" w:rsidRDefault="0008014B" w:rsidP="00A55E66">
            <w:pPr>
              <w:spacing w:before="200" w:after="200"/>
              <w:rPr>
                <w:rFonts w:ascii="Avenir Book" w:eastAsia="Avenir Next LT Pro" w:hAnsi="Avenir Book" w:cs="Times New Roman"/>
                <w:b/>
                <w:bCs/>
                <w:color w:val="4C7D2C"/>
              </w:rPr>
            </w:pPr>
            <w:r w:rsidRPr="005E125D">
              <w:rPr>
                <w:rFonts w:ascii="Avenir Book" w:eastAsia="Avenir Next LT Pro" w:hAnsi="Avenir Book" w:cs="Times New Roman"/>
                <w:b/>
                <w:bCs/>
                <w:color w:val="4C7D2C"/>
              </w:rPr>
              <w:t>Equivalence status</w:t>
            </w:r>
          </w:p>
        </w:tc>
      </w:tr>
      <w:tr w:rsidR="00705188" w:rsidRPr="00C049D8" w14:paraId="30434EAE" w14:textId="77777777" w:rsidTr="009556D2">
        <w:tc>
          <w:tcPr>
            <w:tcW w:w="904" w:type="pct"/>
            <w:tcBorders>
              <w:top w:val="single" w:sz="18" w:space="0" w:color="4C7D2C"/>
              <w:bottom w:val="single" w:sz="2" w:space="0" w:color="385623" w:themeColor="accent6" w:themeShade="80"/>
            </w:tcBorders>
          </w:tcPr>
          <w:p w14:paraId="30878F66" w14:textId="2AA5C9C9" w:rsidR="00705188" w:rsidRPr="001613DA" w:rsidRDefault="00705188" w:rsidP="00705188">
            <w:pPr>
              <w:pStyle w:val="SITableBody"/>
            </w:pPr>
            <w:r>
              <w:t xml:space="preserve">Not applicable </w:t>
            </w:r>
          </w:p>
        </w:tc>
        <w:tc>
          <w:tcPr>
            <w:tcW w:w="1183" w:type="pct"/>
            <w:tcBorders>
              <w:top w:val="single" w:sz="18" w:space="0" w:color="4C7D2C"/>
              <w:bottom w:val="single" w:sz="2" w:space="0" w:color="385623" w:themeColor="accent6" w:themeShade="80"/>
            </w:tcBorders>
          </w:tcPr>
          <w:p w14:paraId="5B950928" w14:textId="758FFF18" w:rsidR="00705188" w:rsidRPr="001613DA" w:rsidRDefault="00705188" w:rsidP="00705188">
            <w:pPr>
              <w:pStyle w:val="SITableBody"/>
            </w:pPr>
            <w:r>
              <w:rPr>
                <w:rFonts w:eastAsia="Avenir Next LT Pro" w:cs="Times New Roman"/>
              </w:rPr>
              <w:t>AHCSOL3X</w:t>
            </w:r>
            <w:r w:rsidR="00656EAC">
              <w:rPr>
                <w:rFonts w:eastAsia="Avenir Next LT Pro" w:cs="Times New Roman"/>
              </w:rPr>
              <w:t>0</w:t>
            </w:r>
            <w:r>
              <w:rPr>
                <w:rFonts w:eastAsia="Avenir Next LT Pro" w:cs="Times New Roman"/>
              </w:rPr>
              <w:t xml:space="preserve">1 Implement an agricultural soil management </w:t>
            </w:r>
            <w:proofErr w:type="gramStart"/>
            <w:r w:rsidR="004D1464">
              <w:rPr>
                <w:rFonts w:eastAsia="Avenir Next LT Pro" w:cs="Times New Roman"/>
              </w:rPr>
              <w:t>processes</w:t>
            </w:r>
            <w:proofErr w:type="gramEnd"/>
          </w:p>
        </w:tc>
        <w:tc>
          <w:tcPr>
            <w:tcW w:w="1952" w:type="pct"/>
            <w:tcBorders>
              <w:top w:val="single" w:sz="18" w:space="0" w:color="4C7D2C"/>
              <w:bottom w:val="single" w:sz="2" w:space="0" w:color="385623" w:themeColor="accent6" w:themeShade="80"/>
            </w:tcBorders>
          </w:tcPr>
          <w:p w14:paraId="7F8D19D8" w14:textId="381929E5" w:rsidR="00705188" w:rsidRPr="001613DA" w:rsidRDefault="00705188" w:rsidP="00705188">
            <w:pPr>
              <w:pStyle w:val="SITableBody"/>
            </w:pPr>
            <w:r>
              <w:t>The unit has been created to address a skill or task required by industry that is not covered by an existing unit</w:t>
            </w:r>
          </w:p>
        </w:tc>
        <w:tc>
          <w:tcPr>
            <w:tcW w:w="961" w:type="pct"/>
            <w:tcBorders>
              <w:top w:val="single" w:sz="18" w:space="0" w:color="4C7D2C"/>
              <w:bottom w:val="single" w:sz="2" w:space="0" w:color="385623" w:themeColor="accent6" w:themeShade="80"/>
            </w:tcBorders>
          </w:tcPr>
          <w:p w14:paraId="63257D43" w14:textId="3868FB6D" w:rsidR="00705188" w:rsidRPr="001613DA" w:rsidRDefault="00705188" w:rsidP="00705188">
            <w:pPr>
              <w:pStyle w:val="SITableBody"/>
            </w:pPr>
            <w:r>
              <w:t>Newly created</w:t>
            </w:r>
          </w:p>
        </w:tc>
      </w:tr>
      <w:tr w:rsidR="00705188" w:rsidRPr="00C049D8" w14:paraId="05B5442D" w14:textId="77777777" w:rsidTr="009556D2">
        <w:tc>
          <w:tcPr>
            <w:tcW w:w="904" w:type="pct"/>
            <w:tcBorders>
              <w:top w:val="single" w:sz="2" w:space="0" w:color="385623" w:themeColor="accent6" w:themeShade="80"/>
              <w:bottom w:val="single" w:sz="2" w:space="0" w:color="385623" w:themeColor="accent6" w:themeShade="80"/>
            </w:tcBorders>
          </w:tcPr>
          <w:p w14:paraId="473E842E" w14:textId="353AF8EA" w:rsidR="00705188" w:rsidRDefault="00705188" w:rsidP="00705188">
            <w:pPr>
              <w:pStyle w:val="SITableBody"/>
            </w:pPr>
            <w:r>
              <w:t xml:space="preserve">Not applicable </w:t>
            </w:r>
          </w:p>
        </w:tc>
        <w:tc>
          <w:tcPr>
            <w:tcW w:w="1183" w:type="pct"/>
            <w:tcBorders>
              <w:top w:val="single" w:sz="2" w:space="0" w:color="385623" w:themeColor="accent6" w:themeShade="80"/>
              <w:bottom w:val="single" w:sz="2" w:space="0" w:color="385623" w:themeColor="accent6" w:themeShade="80"/>
            </w:tcBorders>
          </w:tcPr>
          <w:p w14:paraId="4461B9D1" w14:textId="3E01819C" w:rsidR="00705188" w:rsidRDefault="00705188" w:rsidP="00705188">
            <w:pPr>
              <w:pStyle w:val="SITableBody"/>
            </w:pPr>
            <w:r>
              <w:rPr>
                <w:rFonts w:eastAsia="Avenir Next LT Pro" w:cs="Times New Roman"/>
              </w:rPr>
              <w:t>AHCTEC3X</w:t>
            </w:r>
            <w:r w:rsidR="00656EAC">
              <w:rPr>
                <w:rFonts w:eastAsia="Avenir Next LT Pro" w:cs="Times New Roman"/>
              </w:rPr>
              <w:t>0</w:t>
            </w:r>
            <w:r>
              <w:rPr>
                <w:rFonts w:eastAsia="Avenir Next LT Pro" w:cs="Times New Roman"/>
              </w:rPr>
              <w:t>1 Operate and monitor agricultural production data information technology</w:t>
            </w:r>
          </w:p>
        </w:tc>
        <w:tc>
          <w:tcPr>
            <w:tcW w:w="1952" w:type="pct"/>
            <w:tcBorders>
              <w:top w:val="single" w:sz="2" w:space="0" w:color="385623" w:themeColor="accent6" w:themeShade="80"/>
              <w:bottom w:val="single" w:sz="2" w:space="0" w:color="385623" w:themeColor="accent6" w:themeShade="80"/>
            </w:tcBorders>
          </w:tcPr>
          <w:p w14:paraId="74227059" w14:textId="19C642C2" w:rsidR="00705188" w:rsidRPr="001613DA" w:rsidRDefault="00705188" w:rsidP="00705188">
            <w:pPr>
              <w:pStyle w:val="SITableBody"/>
            </w:pPr>
            <w:r>
              <w:t>The unit has been created to address a skill or task required by industry that is not covered by an existing unit</w:t>
            </w:r>
          </w:p>
        </w:tc>
        <w:tc>
          <w:tcPr>
            <w:tcW w:w="961" w:type="pct"/>
            <w:tcBorders>
              <w:top w:val="single" w:sz="2" w:space="0" w:color="385623" w:themeColor="accent6" w:themeShade="80"/>
              <w:bottom w:val="single" w:sz="2" w:space="0" w:color="385623" w:themeColor="accent6" w:themeShade="80"/>
            </w:tcBorders>
          </w:tcPr>
          <w:p w14:paraId="683CF5F9" w14:textId="65FBCD23" w:rsidR="00705188" w:rsidRPr="001613DA" w:rsidRDefault="00705188" w:rsidP="00705188">
            <w:pPr>
              <w:pStyle w:val="SITableBody"/>
            </w:pPr>
            <w:r>
              <w:t>Newly created</w:t>
            </w:r>
          </w:p>
        </w:tc>
      </w:tr>
      <w:tr w:rsidR="00705188" w:rsidRPr="00C049D8" w14:paraId="24899E07" w14:textId="77777777" w:rsidTr="009556D2">
        <w:tc>
          <w:tcPr>
            <w:tcW w:w="904" w:type="pct"/>
            <w:tcBorders>
              <w:top w:val="single" w:sz="2" w:space="0" w:color="385623" w:themeColor="accent6" w:themeShade="80"/>
            </w:tcBorders>
          </w:tcPr>
          <w:p w14:paraId="6B403C4A" w14:textId="326BFB21" w:rsidR="00705188" w:rsidRDefault="00705188" w:rsidP="00705188">
            <w:pPr>
              <w:pStyle w:val="SITableBody"/>
            </w:pPr>
            <w:r>
              <w:t xml:space="preserve">Not applicable </w:t>
            </w:r>
          </w:p>
        </w:tc>
        <w:tc>
          <w:tcPr>
            <w:tcW w:w="1183" w:type="pct"/>
            <w:tcBorders>
              <w:top w:val="single" w:sz="2" w:space="0" w:color="385623" w:themeColor="accent6" w:themeShade="80"/>
            </w:tcBorders>
          </w:tcPr>
          <w:p w14:paraId="1A55E08A" w14:textId="634AE302" w:rsidR="00705188" w:rsidRDefault="00705188" w:rsidP="00705188">
            <w:pPr>
              <w:pStyle w:val="SITableBody"/>
            </w:pPr>
            <w:r>
              <w:rPr>
                <w:rFonts w:eastAsia="Avenir Next LT Pro" w:cs="Times New Roman"/>
              </w:rPr>
              <w:t>AHCTEC3X</w:t>
            </w:r>
            <w:r w:rsidR="00656EAC">
              <w:rPr>
                <w:rFonts w:eastAsia="Avenir Next LT Pro" w:cs="Times New Roman"/>
              </w:rPr>
              <w:t>02</w:t>
            </w:r>
            <w:r>
              <w:rPr>
                <w:rFonts w:eastAsia="Avenir Next LT Pro" w:cs="Times New Roman"/>
              </w:rPr>
              <w:t xml:space="preserve"> Identify and recommend agricultural production system technology</w:t>
            </w:r>
          </w:p>
        </w:tc>
        <w:tc>
          <w:tcPr>
            <w:tcW w:w="1952" w:type="pct"/>
            <w:tcBorders>
              <w:top w:val="single" w:sz="2" w:space="0" w:color="385623" w:themeColor="accent6" w:themeShade="80"/>
            </w:tcBorders>
          </w:tcPr>
          <w:p w14:paraId="6B93D922" w14:textId="142B41D9" w:rsidR="00705188" w:rsidRPr="001613DA" w:rsidRDefault="00705188" w:rsidP="00705188">
            <w:pPr>
              <w:pStyle w:val="SITableBody"/>
            </w:pPr>
            <w:r>
              <w:t>The unit has been created to address a skill or task required by industry that is not covered by an existing unit</w:t>
            </w:r>
          </w:p>
        </w:tc>
        <w:tc>
          <w:tcPr>
            <w:tcW w:w="961" w:type="pct"/>
            <w:tcBorders>
              <w:top w:val="single" w:sz="2" w:space="0" w:color="385623" w:themeColor="accent6" w:themeShade="80"/>
            </w:tcBorders>
          </w:tcPr>
          <w:p w14:paraId="21FDE6BD" w14:textId="5A89D981" w:rsidR="00705188" w:rsidRPr="001613DA" w:rsidRDefault="00705188" w:rsidP="00705188">
            <w:pPr>
              <w:pStyle w:val="SITableBody"/>
            </w:pPr>
            <w:r>
              <w:t>Newly created</w:t>
            </w:r>
          </w:p>
        </w:tc>
      </w:tr>
      <w:bookmarkEnd w:id="21"/>
      <w:bookmarkEnd w:id="22"/>
      <w:bookmarkEnd w:id="23"/>
      <w:bookmarkEnd w:id="24"/>
      <w:bookmarkEnd w:id="25"/>
    </w:tbl>
    <w:p w14:paraId="642D5B95" w14:textId="77777777" w:rsidR="0008014B" w:rsidRDefault="0008014B">
      <w:pPr>
        <w:rPr>
          <w:rFonts w:ascii="Modern Era TRIAL Medium" w:hAnsi="Modern Era TRIAL Medium"/>
          <w:color w:val="4C7D2C"/>
          <w:sz w:val="28"/>
          <w:szCs w:val="28"/>
        </w:rPr>
        <w:sectPr w:rsidR="0008014B" w:rsidSect="00354DB4">
          <w:footnotePr>
            <w:numStart w:val="14"/>
          </w:footnotePr>
          <w:type w:val="continuous"/>
          <w:pgSz w:w="11906" w:h="16838"/>
          <w:pgMar w:top="2694" w:right="1247" w:bottom="1361" w:left="1247" w:header="709" w:footer="709" w:gutter="0"/>
          <w:cols w:space="708"/>
          <w:docGrid w:linePitch="360"/>
        </w:sectPr>
      </w:pPr>
    </w:p>
    <w:p w14:paraId="5F20FF96" w14:textId="77777777" w:rsidR="00B21709" w:rsidRPr="00A03A37" w:rsidRDefault="00B21709" w:rsidP="00415EA8">
      <w:pPr>
        <w:rPr>
          <w:rFonts w:asciiTheme="minorHAnsi" w:hAnsiTheme="minorHAnsi" w:cstheme="minorHAnsi"/>
          <w:color w:val="4C7D2C"/>
        </w:rPr>
      </w:pPr>
    </w:p>
    <w:sectPr w:rsidR="00B21709" w:rsidRPr="00A03A37" w:rsidSect="005A7BA7">
      <w:pgSz w:w="11906" w:h="16838"/>
      <w:pgMar w:top="709" w:right="1247" w:bottom="1361" w:left="1247" w:header="1296"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3200C3" w14:textId="77777777" w:rsidR="00366F49" w:rsidRDefault="00366F49" w:rsidP="005072F6">
      <w:r>
        <w:separator/>
      </w:r>
    </w:p>
  </w:endnote>
  <w:endnote w:type="continuationSeparator" w:id="0">
    <w:p w14:paraId="41860418" w14:textId="77777777" w:rsidR="00366F49" w:rsidRDefault="00366F49" w:rsidP="005072F6">
      <w:r>
        <w:continuationSeparator/>
      </w:r>
    </w:p>
  </w:endnote>
  <w:endnote w:type="continuationNotice" w:id="1">
    <w:p w14:paraId="3DF027BF" w14:textId="77777777" w:rsidR="00366F49" w:rsidRDefault="00366F4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Avenir Medium">
    <w:altName w:val="Calibri"/>
    <w:charset w:val="00"/>
    <w:family w:val="auto"/>
    <w:pitch w:val="variable"/>
    <w:sig w:usb0="800000AF" w:usb1="5000204A" w:usb2="00000000" w:usb3="00000000" w:csb0="0000009B" w:csb1="00000000"/>
  </w:font>
  <w:font w:name="Avenir Book">
    <w:altName w:val="Tw Cen MT"/>
    <w:charset w:val="00"/>
    <w:family w:val="auto"/>
    <w:pitch w:val="variable"/>
    <w:sig w:usb0="800000AF" w:usb1="5000204A" w:usb2="00000000" w:usb3="00000000" w:csb0="0000009B" w:csb1="00000000"/>
  </w:font>
  <w:font w:name="Open Sans">
    <w:charset w:val="00"/>
    <w:family w:val="swiss"/>
    <w:pitch w:val="variable"/>
    <w:sig w:usb0="E00002EF" w:usb1="4000205B" w:usb2="00000028" w:usb3="00000000" w:csb0="0000019F" w:csb1="00000000"/>
  </w:font>
  <w:font w:name="Avenir">
    <w:altName w:val="Calibri"/>
    <w:charset w:val="4D"/>
    <w:family w:val="swiss"/>
    <w:pitch w:val="variable"/>
    <w:sig w:usb0="800000AF" w:usb1="5000204A" w:usb2="00000000" w:usb3="00000000" w:csb0="0000009B" w:csb1="00000000"/>
  </w:font>
  <w:font w:name="Avenir Next LT Pro">
    <w:charset w:val="00"/>
    <w:family w:val="swiss"/>
    <w:pitch w:val="variable"/>
    <w:sig w:usb0="800000EF" w:usb1="5000204A" w:usb2="00000000" w:usb3="00000000" w:csb0="00000093" w:csb1="00000000"/>
  </w:font>
  <w:font w:name="Modern Era TRIAL Medium">
    <w:altName w:val="Calibri"/>
    <w:panose1 w:val="00000000000000000000"/>
    <w:charset w:val="00"/>
    <w:family w:val="auto"/>
    <w:notTrueType/>
    <w:pitch w:val="variable"/>
    <w:sig w:usb0="A00000EF" w:usb1="0000F07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62114463"/>
      <w:docPartObj>
        <w:docPartGallery w:val="Page Numbers (Bottom of Page)"/>
        <w:docPartUnique/>
      </w:docPartObj>
    </w:sdtPr>
    <w:sdtEndPr>
      <w:rPr>
        <w:rStyle w:val="PageNumber"/>
      </w:rPr>
    </w:sdtEndPr>
    <w:sdtContent>
      <w:p w14:paraId="438618AA" w14:textId="06BC50CA" w:rsidR="00070726" w:rsidRDefault="00070726" w:rsidP="00E7563A">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1D2C409E" w14:textId="77777777" w:rsidR="005072F6" w:rsidRDefault="005072F6" w:rsidP="0007072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Avenir Book" w:hAnsi="Avenir Book"/>
        <w:b/>
        <w:bCs/>
      </w:rPr>
      <w:id w:val="1742756181"/>
      <w:docPartObj>
        <w:docPartGallery w:val="Page Numbers (Bottom of Page)"/>
        <w:docPartUnique/>
      </w:docPartObj>
    </w:sdtPr>
    <w:sdtEndPr>
      <w:rPr>
        <w:rStyle w:val="PageNumber"/>
      </w:rPr>
    </w:sdtEndPr>
    <w:sdtContent>
      <w:p w14:paraId="0890EE99" w14:textId="04CF3807" w:rsidR="00070726" w:rsidRPr="009E61F9" w:rsidRDefault="00070726" w:rsidP="00E7563A">
        <w:pPr>
          <w:pStyle w:val="Footer"/>
          <w:framePr w:wrap="none" w:vAnchor="text" w:hAnchor="margin" w:xAlign="right" w:y="1"/>
          <w:rPr>
            <w:rStyle w:val="PageNumber"/>
            <w:rFonts w:ascii="Avenir Book" w:hAnsi="Avenir Book"/>
            <w:b/>
            <w:bCs/>
          </w:rPr>
        </w:pPr>
        <w:r w:rsidRPr="009E61F9">
          <w:rPr>
            <w:rStyle w:val="PageNumber"/>
            <w:rFonts w:ascii="Avenir Book" w:hAnsi="Avenir Book"/>
            <w:b/>
            <w:bCs/>
          </w:rPr>
          <w:fldChar w:fldCharType="begin"/>
        </w:r>
        <w:r w:rsidRPr="009E61F9">
          <w:rPr>
            <w:rStyle w:val="PageNumber"/>
            <w:rFonts w:ascii="Avenir Book" w:hAnsi="Avenir Book"/>
            <w:b/>
            <w:bCs/>
          </w:rPr>
          <w:instrText xml:space="preserve"> PAGE </w:instrText>
        </w:r>
        <w:r w:rsidRPr="009E61F9">
          <w:rPr>
            <w:rStyle w:val="PageNumber"/>
            <w:rFonts w:ascii="Avenir Book" w:hAnsi="Avenir Book"/>
            <w:b/>
            <w:bCs/>
          </w:rPr>
          <w:fldChar w:fldCharType="separate"/>
        </w:r>
        <w:r w:rsidRPr="009E61F9">
          <w:rPr>
            <w:rStyle w:val="PageNumber"/>
            <w:rFonts w:ascii="Avenir Book" w:hAnsi="Avenir Book"/>
            <w:b/>
            <w:bCs/>
            <w:noProof/>
          </w:rPr>
          <w:t>3</w:t>
        </w:r>
        <w:r w:rsidRPr="009E61F9">
          <w:rPr>
            <w:rStyle w:val="PageNumber"/>
            <w:rFonts w:ascii="Avenir Book" w:hAnsi="Avenir Book"/>
            <w:b/>
            <w:bCs/>
          </w:rPr>
          <w:fldChar w:fldCharType="end"/>
        </w:r>
      </w:p>
    </w:sdtContent>
  </w:sdt>
  <w:p w14:paraId="316F99DE" w14:textId="0CCAB674" w:rsidR="005072F6" w:rsidRPr="009E61F9" w:rsidRDefault="005A7BA7" w:rsidP="00070726">
    <w:pPr>
      <w:pStyle w:val="Footer"/>
      <w:tabs>
        <w:tab w:val="clear" w:pos="4513"/>
        <w:tab w:val="clear" w:pos="9026"/>
        <w:tab w:val="right" w:pos="9412"/>
      </w:tabs>
      <w:ind w:right="360"/>
      <w:rPr>
        <w:rFonts w:ascii="Avenir Medium" w:hAnsi="Avenir Medium"/>
        <w:color w:val="1E3531"/>
      </w:rPr>
    </w:pPr>
    <w:r>
      <w:rPr>
        <w:noProof/>
      </w:rPr>
      <w:drawing>
        <wp:anchor distT="0" distB="0" distL="114300" distR="114300" simplePos="0" relativeHeight="251656192" behindDoc="0" locked="0" layoutInCell="1" allowOverlap="1" wp14:anchorId="1153F273" wp14:editId="25BE5E69">
          <wp:simplePos x="0" y="0"/>
          <wp:positionH relativeFrom="column">
            <wp:posOffset>-267335</wp:posOffset>
          </wp:positionH>
          <wp:positionV relativeFrom="paragraph">
            <wp:posOffset>430530</wp:posOffset>
          </wp:positionV>
          <wp:extent cx="2115047" cy="1582784"/>
          <wp:effectExtent l="0" t="0" r="0" b="0"/>
          <wp:wrapNone/>
          <wp:docPr id="1055850218" name="Picture 1055850218" descr="A picture containing graphics, font, graphic design,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801638" name="Picture 1" descr="A picture containing graphics, font, graphic design, screensho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115047" cy="1582784"/>
                  </a:xfrm>
                  <a:prstGeom prst="rect">
                    <a:avLst/>
                  </a:prstGeom>
                </pic:spPr>
              </pic:pic>
            </a:graphicData>
          </a:graphic>
          <wp14:sizeRelH relativeFrom="page">
            <wp14:pctWidth>0</wp14:pctWidth>
          </wp14:sizeRelH>
          <wp14:sizeRelV relativeFrom="page">
            <wp14:pctHeight>0</wp14:pctHeight>
          </wp14:sizeRelV>
        </wp:anchor>
      </w:drawing>
    </w:r>
    <w:r w:rsidR="009556D2" w:rsidRPr="009556D2">
      <w:t xml:space="preserve"> </w:t>
    </w:r>
    <w:r w:rsidR="009556D2">
      <w:t>Agriculture Trade Qualification</w:t>
    </w:r>
    <w:r w:rsidR="00F94DC5" w:rsidRPr="00656EAC">
      <w:t xml:space="preserve"> Project </w:t>
    </w:r>
    <w:r w:rsidR="00AB37DF" w:rsidRPr="00656EAC">
      <w:t xml:space="preserve">TP </w:t>
    </w:r>
    <w:r w:rsidR="00F94DC5" w:rsidRPr="00656EAC">
      <w:t>CVIG DRAFT</w:t>
    </w:r>
    <w:r w:rsidR="00430E24" w:rsidRPr="00656EAC">
      <w:t xml:space="preserve">, </w:t>
    </w:r>
    <w:r w:rsidR="009556D2" w:rsidRPr="00656EAC">
      <w:t>July 2026</w:t>
    </w:r>
    <w:r w:rsidR="00070726" w:rsidRPr="009E61F9">
      <w:rPr>
        <w:rFonts w:ascii="Avenir Medium" w:hAnsi="Avenir Medium"/>
        <w:color w:val="1E3531"/>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B456BB" w14:textId="77777777" w:rsidR="00656EAC" w:rsidRDefault="00656E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BAD523" w14:textId="77777777" w:rsidR="00366F49" w:rsidRDefault="00366F49" w:rsidP="005072F6">
      <w:r>
        <w:separator/>
      </w:r>
    </w:p>
  </w:footnote>
  <w:footnote w:type="continuationSeparator" w:id="0">
    <w:p w14:paraId="3C7FC493" w14:textId="77777777" w:rsidR="00366F49" w:rsidRDefault="00366F49" w:rsidP="005072F6">
      <w:r>
        <w:continuationSeparator/>
      </w:r>
    </w:p>
  </w:footnote>
  <w:footnote w:type="continuationNotice" w:id="1">
    <w:p w14:paraId="34C7F636" w14:textId="77777777" w:rsidR="00366F49" w:rsidRDefault="00366F49"/>
  </w:footnote>
  <w:footnote w:id="2">
    <w:p w14:paraId="7432485D" w14:textId="102A2FA0" w:rsidR="00354DB4" w:rsidRDefault="00354DB4">
      <w:pPr>
        <w:pStyle w:val="FootnoteText"/>
      </w:pPr>
      <w:r>
        <w:rPr>
          <w:rStyle w:val="FootnoteReference"/>
        </w:rPr>
        <w:footnoteRef/>
      </w:r>
      <w:r>
        <w:t xml:space="preserve"> </w:t>
      </w:r>
      <w:r w:rsidRPr="00354DB4">
        <w:t>Horticulture for Tomorrow and Horticulture Australia Limited, 2014, Guidelines for Environmental Assurance in Australian Horticulture, viewed February 2025, &lt;http://hoho3216.staging-cloud.netregistry.net/manage/wp-content/uploads/2014/05/Environmental-Assurance-Guidelines-2014-full-version-2.pdf&gt;.</w:t>
      </w:r>
    </w:p>
  </w:footnote>
  <w:footnote w:id="3">
    <w:p w14:paraId="443733E5" w14:textId="690ADE11" w:rsidR="00354DB4" w:rsidRDefault="00354DB4">
      <w:pPr>
        <w:pStyle w:val="FootnoteText"/>
      </w:pPr>
      <w:r>
        <w:rPr>
          <w:rStyle w:val="FootnoteReference"/>
        </w:rPr>
        <w:footnoteRef/>
      </w:r>
      <w:r>
        <w:t xml:space="preserve"> </w:t>
      </w:r>
      <w:r w:rsidRPr="00354DB4">
        <w:t>Food Standards Australia New Zealand, 2014, ‘Horticulture’, viewed February 2025, &lt;https://www.foodstandards.gov.au/sites/default/files/2024-10/Safe%20Horticulture%20Australia%20-%20web.pdf&gt;</w:t>
      </w:r>
    </w:p>
  </w:footnote>
  <w:footnote w:id="4">
    <w:p w14:paraId="3CE5E336" w14:textId="7F038258" w:rsidR="00B75B2E" w:rsidRDefault="00B75B2E">
      <w:pPr>
        <w:pStyle w:val="FootnoteText"/>
      </w:pPr>
      <w:r>
        <w:rPr>
          <w:rStyle w:val="FootnoteReference"/>
        </w:rPr>
        <w:footnoteRef/>
      </w:r>
      <w:r>
        <w:t xml:space="preserve"> </w:t>
      </w:r>
      <w:r w:rsidRPr="00B75B2E">
        <w:t>Agriculture Victoria, 2020, ‘Livestock management’, viewed February 2025, &lt;https://agriculture.vic.gov.au/livestock-and-animals/animal-welfare-victoria/livestock-management-and-welfare/livestock-management-legislation-and-regulations#h2-0&gt;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97DE6" w14:textId="77777777" w:rsidR="00656EAC" w:rsidRDefault="00656EA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11" w:name="_Hlk134097465"/>
  <w:bookmarkStart w:id="12" w:name="_Hlk134097466"/>
  <w:bookmarkStart w:id="13" w:name="_Hlk134097471"/>
  <w:bookmarkStart w:id="14" w:name="_Hlk134097472"/>
  <w:p w14:paraId="2B41945B" w14:textId="762989AD" w:rsidR="00DB59E7" w:rsidRDefault="00366F49" w:rsidP="00DB59E7">
    <w:pPr>
      <w:pStyle w:val="Header"/>
    </w:pPr>
    <w:sdt>
      <w:sdtPr>
        <w:id w:val="-719355768"/>
        <w:docPartObj>
          <w:docPartGallery w:val="Watermarks"/>
          <w:docPartUnique/>
        </w:docPartObj>
      </w:sdtPr>
      <w:sdtEndPr/>
      <w:sdtContent>
        <w:r>
          <w:rPr>
            <w:noProof/>
          </w:rPr>
          <w:pict w14:anchorId="2554014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sdtContent>
    </w:sdt>
    <w:r w:rsidR="0008014B">
      <w:rPr>
        <w:noProof/>
      </w:rPr>
      <mc:AlternateContent>
        <mc:Choice Requires="wps">
          <w:drawing>
            <wp:anchor distT="0" distB="0" distL="114300" distR="114300" simplePos="0" relativeHeight="251657216" behindDoc="0" locked="0" layoutInCell="1" allowOverlap="1" wp14:anchorId="0DE528ED" wp14:editId="1CDF6A7B">
              <wp:simplePos x="0" y="0"/>
              <wp:positionH relativeFrom="column">
                <wp:posOffset>3510280</wp:posOffset>
              </wp:positionH>
              <wp:positionV relativeFrom="paragraph">
                <wp:posOffset>-121920</wp:posOffset>
              </wp:positionV>
              <wp:extent cx="2814485" cy="1057275"/>
              <wp:effectExtent l="0" t="0" r="5080" b="9525"/>
              <wp:wrapNone/>
              <wp:docPr id="1769847543" name="Text Box 1769847543"/>
              <wp:cNvGraphicFramePr/>
              <a:graphic xmlns:a="http://schemas.openxmlformats.org/drawingml/2006/main">
                <a:graphicData uri="http://schemas.microsoft.com/office/word/2010/wordprocessingShape">
                  <wps:wsp>
                    <wps:cNvSpPr txBox="1"/>
                    <wps:spPr>
                      <a:xfrm>
                        <a:off x="0" y="0"/>
                        <a:ext cx="2814485" cy="1057275"/>
                      </a:xfrm>
                      <a:prstGeom prst="rect">
                        <a:avLst/>
                      </a:prstGeom>
                      <a:solidFill>
                        <a:schemeClr val="lt1"/>
                      </a:solidFill>
                      <a:ln w="6350">
                        <a:noFill/>
                      </a:ln>
                    </wps:spPr>
                    <wps:txbx>
                      <w:txbxContent>
                        <w:p w14:paraId="12A719EF" w14:textId="77777777" w:rsidR="00DB59E7" w:rsidRPr="008556F2" w:rsidRDefault="00DB59E7" w:rsidP="00DB59E7">
                          <w:pPr>
                            <w:spacing w:before="80" w:after="80"/>
                            <w:rPr>
                              <w:rFonts w:ascii="Avenir Medium" w:hAnsi="Avenir Medium"/>
                              <w:color w:val="213430"/>
                              <w:sz w:val="21"/>
                              <w:szCs w:val="21"/>
                            </w:rPr>
                          </w:pPr>
                          <w:r w:rsidRPr="008556F2">
                            <w:rPr>
                              <w:rFonts w:ascii="Avenir Medium" w:hAnsi="Avenir Medium"/>
                              <w:color w:val="213430"/>
                              <w:sz w:val="21"/>
                              <w:szCs w:val="21"/>
                            </w:rPr>
                            <w:t>03 9321 3526</w:t>
                          </w:r>
                        </w:p>
                        <w:p w14:paraId="2F9AA00B" w14:textId="77777777" w:rsidR="00DB59E7" w:rsidRPr="008556F2" w:rsidRDefault="00DB59E7" w:rsidP="00DB59E7">
                          <w:pPr>
                            <w:spacing w:before="80" w:after="80"/>
                            <w:rPr>
                              <w:rFonts w:ascii="Avenir Medium" w:hAnsi="Avenir Medium"/>
                              <w:color w:val="213430"/>
                              <w:sz w:val="21"/>
                              <w:szCs w:val="21"/>
                            </w:rPr>
                          </w:pPr>
                          <w:r w:rsidRPr="008556F2">
                            <w:rPr>
                              <w:rFonts w:ascii="Avenir Medium" w:hAnsi="Avenir Medium"/>
                              <w:color w:val="213430"/>
                              <w:sz w:val="21"/>
                              <w:szCs w:val="21"/>
                            </w:rPr>
                            <w:t>PO Box 466, North Melbourne, VIC 3051</w:t>
                          </w:r>
                        </w:p>
                        <w:bookmarkStart w:id="15" w:name="_Hlk134097482"/>
                        <w:bookmarkStart w:id="16" w:name="_Hlk134097483"/>
                        <w:p w14:paraId="07AA31C1" w14:textId="77777777" w:rsidR="007A72C1" w:rsidRPr="00281EB7" w:rsidRDefault="007A72C1" w:rsidP="007A72C1">
                          <w:pPr>
                            <w:pStyle w:val="Footer"/>
                            <w:rPr>
                              <w:rFonts w:ascii="Avenir Medium" w:hAnsi="Avenir Medium"/>
                              <w:color w:val="213430"/>
                              <w:sz w:val="21"/>
                              <w:szCs w:val="21"/>
                              <w:u w:val="single"/>
                            </w:rPr>
                          </w:pPr>
                          <w:r w:rsidRPr="00281EB7">
                            <w:rPr>
                              <w:rFonts w:asciiTheme="minorHAnsi" w:hAnsiTheme="minorHAnsi"/>
                            </w:rPr>
                            <w:fldChar w:fldCharType="begin"/>
                          </w:r>
                          <w:r w:rsidRPr="00281EB7">
                            <w:rPr>
                              <w:u w:val="single"/>
                            </w:rPr>
                            <w:instrText>HYPERLINK "http://skillsinsight.com.au/"</w:instrText>
                          </w:r>
                          <w:r w:rsidRPr="00281EB7">
                            <w:rPr>
                              <w:rFonts w:asciiTheme="minorHAnsi" w:hAnsiTheme="minorHAnsi"/>
                            </w:rPr>
                          </w:r>
                          <w:r w:rsidRPr="00281EB7">
                            <w:rPr>
                              <w:rFonts w:asciiTheme="minorHAnsi" w:hAnsiTheme="minorHAnsi"/>
                            </w:rPr>
                            <w:fldChar w:fldCharType="separate"/>
                          </w:r>
                          <w:r w:rsidRPr="00281EB7">
                            <w:rPr>
                              <w:rStyle w:val="Hyperlink"/>
                              <w:rFonts w:ascii="Avenir Medium" w:hAnsi="Avenir Medium"/>
                              <w:color w:val="213430"/>
                              <w:sz w:val="21"/>
                              <w:szCs w:val="21"/>
                            </w:rPr>
                            <w:t>Skillsinsight.com.au</w:t>
                          </w:r>
                          <w:r w:rsidRPr="00281EB7">
                            <w:rPr>
                              <w:rStyle w:val="Hyperlink"/>
                              <w:rFonts w:ascii="Avenir Medium" w:hAnsi="Avenir Medium"/>
                              <w:color w:val="213430"/>
                              <w:sz w:val="21"/>
                              <w:szCs w:val="21"/>
                            </w:rPr>
                            <w:fldChar w:fldCharType="end"/>
                          </w:r>
                          <w:bookmarkEnd w:id="15"/>
                          <w:bookmarkEnd w:id="16"/>
                        </w:p>
                        <w:p w14:paraId="2C6707FD" w14:textId="77777777" w:rsidR="007A72C1" w:rsidRPr="00281EB7" w:rsidRDefault="007A72C1" w:rsidP="00DB59E7">
                          <w:pPr>
                            <w:spacing w:before="80" w:after="80"/>
                            <w:rPr>
                              <w:rFonts w:ascii="Avenir Medium" w:hAnsi="Avenir Medium"/>
                              <w:color w:val="213430"/>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E528ED" id="_x0000_t202" coordsize="21600,21600" o:spt="202" path="m,l,21600r21600,l21600,xe">
              <v:stroke joinstyle="miter"/>
              <v:path gradientshapeok="t" o:connecttype="rect"/>
            </v:shapetype>
            <v:shape id="Text Box 1769847543" o:spid="_x0000_s1026" type="#_x0000_t202" style="position:absolute;margin-left:276.4pt;margin-top:-9.6pt;width:221.6pt;height:83.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" fillcolor="white [3201]" stroked="f" strokeweight=".5pt">
              <v:textbox>
                <w:txbxContent>
                  <w:p w14:paraId="12A719EF" w14:textId="77777777" w:rsidR="00DB59E7" w:rsidRPr="008556F2" w:rsidRDefault="00DB59E7" w:rsidP="00DB59E7">
                    <w:pPr>
                      <w:spacing w:before="80" w:after="80"/>
                      <w:rPr>
                        <w:rFonts w:ascii="Avenir Medium" w:hAnsi="Avenir Medium"/>
                        <w:color w:val="213430"/>
                        <w:sz w:val="21"/>
                        <w:szCs w:val="21"/>
                      </w:rPr>
                    </w:pPr>
                    <w:r w:rsidRPr="008556F2">
                      <w:rPr>
                        <w:rFonts w:ascii="Avenir Medium" w:hAnsi="Avenir Medium"/>
                        <w:color w:val="213430"/>
                        <w:sz w:val="21"/>
                        <w:szCs w:val="21"/>
                      </w:rPr>
                      <w:t>03 9321 3526</w:t>
                    </w:r>
                  </w:p>
                  <w:p w14:paraId="2F9AA00B" w14:textId="77777777" w:rsidR="00DB59E7" w:rsidRPr="008556F2" w:rsidRDefault="00DB59E7" w:rsidP="00DB59E7">
                    <w:pPr>
                      <w:spacing w:before="80" w:after="80"/>
                      <w:rPr>
                        <w:rFonts w:ascii="Avenir Medium" w:hAnsi="Avenir Medium"/>
                        <w:color w:val="213430"/>
                        <w:sz w:val="21"/>
                        <w:szCs w:val="21"/>
                      </w:rPr>
                    </w:pPr>
                    <w:r w:rsidRPr="008556F2">
                      <w:rPr>
                        <w:rFonts w:ascii="Avenir Medium" w:hAnsi="Avenir Medium"/>
                        <w:color w:val="213430"/>
                        <w:sz w:val="21"/>
                        <w:szCs w:val="21"/>
                      </w:rPr>
                      <w:t>PO Box 466, North Melbourne, VIC 3051</w:t>
                    </w:r>
                  </w:p>
                  <w:bookmarkStart w:id="17" w:name="_Hlk134097482"/>
                  <w:bookmarkStart w:id="18" w:name="_Hlk134097483"/>
                  <w:p w14:paraId="07AA31C1" w14:textId="77777777" w:rsidR="007A72C1" w:rsidRPr="00281EB7" w:rsidRDefault="007A72C1" w:rsidP="007A72C1">
                    <w:pPr>
                      <w:pStyle w:val="Footer"/>
                      <w:rPr>
                        <w:rFonts w:ascii="Avenir Medium" w:hAnsi="Avenir Medium"/>
                        <w:color w:val="213430"/>
                        <w:sz w:val="21"/>
                        <w:szCs w:val="21"/>
                        <w:u w:val="single"/>
                      </w:rPr>
                    </w:pPr>
                    <w:r w:rsidRPr="00281EB7">
                      <w:rPr>
                        <w:rFonts w:asciiTheme="minorHAnsi" w:hAnsiTheme="minorHAnsi"/>
                      </w:rPr>
                      <w:fldChar w:fldCharType="begin"/>
                    </w:r>
                    <w:r w:rsidRPr="00281EB7">
                      <w:rPr>
                        <w:u w:val="single"/>
                      </w:rPr>
                      <w:instrText>HYPERLINK "http://skillsinsight.com.au/"</w:instrText>
                    </w:r>
                    <w:r w:rsidRPr="00281EB7">
                      <w:rPr>
                        <w:rFonts w:asciiTheme="minorHAnsi" w:hAnsiTheme="minorHAnsi"/>
                      </w:rPr>
                    </w:r>
                    <w:r w:rsidRPr="00281EB7">
                      <w:rPr>
                        <w:rFonts w:asciiTheme="minorHAnsi" w:hAnsiTheme="minorHAnsi"/>
                      </w:rPr>
                      <w:fldChar w:fldCharType="separate"/>
                    </w:r>
                    <w:r w:rsidRPr="00281EB7">
                      <w:rPr>
                        <w:rStyle w:val="Hyperlink"/>
                        <w:rFonts w:ascii="Avenir Medium" w:hAnsi="Avenir Medium"/>
                        <w:color w:val="213430"/>
                        <w:sz w:val="21"/>
                        <w:szCs w:val="21"/>
                      </w:rPr>
                      <w:t>Skillsinsight.com.au</w:t>
                    </w:r>
                    <w:r w:rsidRPr="00281EB7">
                      <w:rPr>
                        <w:rStyle w:val="Hyperlink"/>
                        <w:rFonts w:ascii="Avenir Medium" w:hAnsi="Avenir Medium"/>
                        <w:color w:val="213430"/>
                        <w:sz w:val="21"/>
                        <w:szCs w:val="21"/>
                      </w:rPr>
                      <w:fldChar w:fldCharType="end"/>
                    </w:r>
                    <w:bookmarkEnd w:id="17"/>
                    <w:bookmarkEnd w:id="18"/>
                  </w:p>
                  <w:p w14:paraId="2C6707FD" w14:textId="77777777" w:rsidR="007A72C1" w:rsidRPr="00281EB7" w:rsidRDefault="007A72C1" w:rsidP="00DB59E7">
                    <w:pPr>
                      <w:spacing w:before="80" w:after="80"/>
                      <w:rPr>
                        <w:rFonts w:ascii="Avenir Medium" w:hAnsi="Avenir Medium"/>
                        <w:color w:val="213430"/>
                        <w:sz w:val="21"/>
                        <w:szCs w:val="21"/>
                      </w:rPr>
                    </w:pPr>
                  </w:p>
                </w:txbxContent>
              </v:textbox>
            </v:shape>
          </w:pict>
        </mc:Fallback>
      </mc:AlternateContent>
    </w:r>
    <w:r w:rsidR="0008014B">
      <w:rPr>
        <w:noProof/>
      </w:rPr>
      <w:drawing>
        <wp:anchor distT="0" distB="0" distL="114300" distR="114300" simplePos="0" relativeHeight="251658240" behindDoc="0" locked="0" layoutInCell="1" allowOverlap="1" wp14:anchorId="16E4A2C1" wp14:editId="04D2DE62">
          <wp:simplePos x="0" y="0"/>
          <wp:positionH relativeFrom="margin">
            <wp:posOffset>-168275</wp:posOffset>
          </wp:positionH>
          <wp:positionV relativeFrom="paragraph">
            <wp:posOffset>-450850</wp:posOffset>
          </wp:positionV>
          <wp:extent cx="2115047" cy="1582784"/>
          <wp:effectExtent l="0" t="0" r="0" b="0"/>
          <wp:wrapNone/>
          <wp:docPr id="415600139" name="Picture 415600139" descr="A picture containing graphics, font, graphic design,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801638" name="Picture 1" descr="A picture containing graphics, font, graphic design, screensho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115047" cy="1582784"/>
                  </a:xfrm>
                  <a:prstGeom prst="rect">
                    <a:avLst/>
                  </a:prstGeom>
                </pic:spPr>
              </pic:pic>
            </a:graphicData>
          </a:graphic>
          <wp14:sizeRelH relativeFrom="page">
            <wp14:pctWidth>0</wp14:pctWidth>
          </wp14:sizeRelH>
          <wp14:sizeRelV relativeFrom="page">
            <wp14:pctHeight>0</wp14:pctHeight>
          </wp14:sizeRelV>
        </wp:anchor>
      </w:drawing>
    </w:r>
    <w:bookmarkEnd w:id="11"/>
    <w:bookmarkEnd w:id="12"/>
    <w:bookmarkEnd w:id="13"/>
    <w:bookmarkEnd w:id="14"/>
  </w:p>
  <w:p w14:paraId="12BDA71A" w14:textId="761B74B5" w:rsidR="00DB59E7" w:rsidRDefault="00E07766" w:rsidP="00E07766">
    <w:pPr>
      <w:pStyle w:val="Header"/>
      <w:tabs>
        <w:tab w:val="clear" w:pos="4513"/>
        <w:tab w:val="clear" w:pos="9026"/>
        <w:tab w:val="left" w:pos="2925"/>
      </w:tabs>
    </w:pP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9CA566" w14:textId="77777777" w:rsidR="00656EAC" w:rsidRDefault="00656EA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943D9"/>
    <w:multiLevelType w:val="hybridMultilevel"/>
    <w:tmpl w:val="D46A97F2"/>
    <w:lvl w:ilvl="0" w:tplc="BF548C34">
      <w:start w:val="1"/>
      <w:numFmt w:val="bullet"/>
      <w:lvlText w:val="•"/>
      <w:lvlJc w:val="left"/>
      <w:pPr>
        <w:ind w:left="1080" w:hanging="360"/>
      </w:pPr>
      <w:rPr>
        <w:rFonts w:ascii="Arial" w:hAnsi="Arial"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 w15:restartNumberingAfterBreak="0">
    <w:nsid w:val="05D1550F"/>
    <w:multiLevelType w:val="hybridMultilevel"/>
    <w:tmpl w:val="620CD802"/>
    <w:lvl w:ilvl="0" w:tplc="04090003">
      <w:start w:val="1"/>
      <w:numFmt w:val="bullet"/>
      <w:lvlText w:val="o"/>
      <w:lvlJc w:val="left"/>
      <w:pPr>
        <w:ind w:left="1080" w:hanging="360"/>
      </w:pPr>
      <w:rPr>
        <w:rFonts w:ascii="Courier New" w:hAnsi="Courier New" w:cs="Courier New" w:hint="default"/>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 w15:restartNumberingAfterBreak="0">
    <w:nsid w:val="11CE4284"/>
    <w:multiLevelType w:val="hybridMultilevel"/>
    <w:tmpl w:val="128A8D68"/>
    <w:lvl w:ilvl="0" w:tplc="04090001">
      <w:start w:val="1"/>
      <w:numFmt w:val="bullet"/>
      <w:lvlText w:val=""/>
      <w:lvlJc w:val="left"/>
      <w:pPr>
        <w:ind w:left="777" w:hanging="360"/>
      </w:pPr>
      <w:rPr>
        <w:rFonts w:ascii="Symbol" w:hAnsi="Symbol" w:hint="default"/>
      </w:rPr>
    </w:lvl>
    <w:lvl w:ilvl="1" w:tplc="04090003">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3" w15:restartNumberingAfterBreak="0">
    <w:nsid w:val="11EA677E"/>
    <w:multiLevelType w:val="hybridMultilevel"/>
    <w:tmpl w:val="28A0F640"/>
    <w:lvl w:ilvl="0" w:tplc="04090001">
      <w:start w:val="1"/>
      <w:numFmt w:val="bullet"/>
      <w:lvlText w:val=""/>
      <w:lvlJc w:val="left"/>
      <w:pPr>
        <w:ind w:left="777" w:hanging="360"/>
      </w:pPr>
      <w:rPr>
        <w:rFonts w:ascii="Symbol" w:hAnsi="Symbol" w:hint="default"/>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4" w15:restartNumberingAfterBreak="0">
    <w:nsid w:val="22183B8C"/>
    <w:multiLevelType w:val="hybridMultilevel"/>
    <w:tmpl w:val="664CDE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9211B87"/>
    <w:multiLevelType w:val="hybridMultilevel"/>
    <w:tmpl w:val="7C7E6B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307C34CF"/>
    <w:multiLevelType w:val="hybridMultilevel"/>
    <w:tmpl w:val="815E702E"/>
    <w:lvl w:ilvl="0" w:tplc="0C090001">
      <w:start w:val="1"/>
      <w:numFmt w:val="bullet"/>
      <w:pStyle w:val="DotpointsSI"/>
      <w:lvlText w:val=""/>
      <w:lvlJc w:val="left"/>
      <w:pPr>
        <w:ind w:left="720" w:hanging="360"/>
      </w:pPr>
      <w:rPr>
        <w:rFonts w:ascii="Symbol" w:hAnsi="Symbol" w:hint="default"/>
      </w:rPr>
    </w:lvl>
    <w:lvl w:ilvl="1" w:tplc="FC8644B8">
      <w:start w:val="1"/>
      <w:numFmt w:val="bullet"/>
      <w:pStyle w:val="Secondarydotpoin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32C852A4"/>
    <w:multiLevelType w:val="hybridMultilevel"/>
    <w:tmpl w:val="615EB7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3BAF610D"/>
    <w:multiLevelType w:val="hybridMultilevel"/>
    <w:tmpl w:val="22B869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001396E"/>
    <w:multiLevelType w:val="hybridMultilevel"/>
    <w:tmpl w:val="87647646"/>
    <w:lvl w:ilvl="0" w:tplc="04090001">
      <w:start w:val="1"/>
      <w:numFmt w:val="bullet"/>
      <w:lvlText w:val=""/>
      <w:lvlJc w:val="left"/>
      <w:pPr>
        <w:ind w:left="777" w:hanging="360"/>
      </w:pPr>
      <w:rPr>
        <w:rFonts w:ascii="Symbol" w:hAnsi="Symbol" w:hint="default"/>
      </w:rPr>
    </w:lvl>
    <w:lvl w:ilvl="1" w:tplc="04090003">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10" w15:restartNumberingAfterBreak="0">
    <w:nsid w:val="417A1721"/>
    <w:multiLevelType w:val="hybridMultilevel"/>
    <w:tmpl w:val="29BEDCC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41BA3007"/>
    <w:multiLevelType w:val="hybridMultilevel"/>
    <w:tmpl w:val="55B6950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41CA372E"/>
    <w:multiLevelType w:val="hybridMultilevel"/>
    <w:tmpl w:val="20A80D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4D450C7C"/>
    <w:multiLevelType w:val="hybridMultilevel"/>
    <w:tmpl w:val="3BD238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56E960C4"/>
    <w:multiLevelType w:val="hybridMultilevel"/>
    <w:tmpl w:val="9012AE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C0D1E5E"/>
    <w:multiLevelType w:val="hybridMultilevel"/>
    <w:tmpl w:val="40EE7C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71006ED0"/>
    <w:multiLevelType w:val="hybridMultilevel"/>
    <w:tmpl w:val="F31AAC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B80157"/>
    <w:multiLevelType w:val="hybridMultilevel"/>
    <w:tmpl w:val="94E6A384"/>
    <w:lvl w:ilvl="0" w:tplc="04090001">
      <w:start w:val="1"/>
      <w:numFmt w:val="bullet"/>
      <w:lvlText w:val=""/>
      <w:lvlJc w:val="left"/>
      <w:pPr>
        <w:ind w:left="777" w:hanging="360"/>
      </w:pPr>
      <w:rPr>
        <w:rFonts w:ascii="Symbol" w:hAnsi="Symbol" w:hint="default"/>
      </w:rPr>
    </w:lvl>
    <w:lvl w:ilvl="1" w:tplc="04090003" w:tentative="1">
      <w:start w:val="1"/>
      <w:numFmt w:val="bullet"/>
      <w:lvlText w:val="o"/>
      <w:lvlJc w:val="left"/>
      <w:pPr>
        <w:ind w:left="1497" w:hanging="360"/>
      </w:pPr>
      <w:rPr>
        <w:rFonts w:ascii="Courier New" w:hAnsi="Courier New" w:cs="Courier New" w:hint="default"/>
      </w:rPr>
    </w:lvl>
    <w:lvl w:ilvl="2" w:tplc="04090005" w:tentative="1">
      <w:start w:val="1"/>
      <w:numFmt w:val="bullet"/>
      <w:lvlText w:val=""/>
      <w:lvlJc w:val="left"/>
      <w:pPr>
        <w:ind w:left="2217" w:hanging="360"/>
      </w:pPr>
      <w:rPr>
        <w:rFonts w:ascii="Wingdings" w:hAnsi="Wingdings" w:hint="default"/>
      </w:rPr>
    </w:lvl>
    <w:lvl w:ilvl="3" w:tplc="04090001" w:tentative="1">
      <w:start w:val="1"/>
      <w:numFmt w:val="bullet"/>
      <w:lvlText w:val=""/>
      <w:lvlJc w:val="left"/>
      <w:pPr>
        <w:ind w:left="2937" w:hanging="360"/>
      </w:pPr>
      <w:rPr>
        <w:rFonts w:ascii="Symbol" w:hAnsi="Symbol" w:hint="default"/>
      </w:rPr>
    </w:lvl>
    <w:lvl w:ilvl="4" w:tplc="04090003" w:tentative="1">
      <w:start w:val="1"/>
      <w:numFmt w:val="bullet"/>
      <w:lvlText w:val="o"/>
      <w:lvlJc w:val="left"/>
      <w:pPr>
        <w:ind w:left="3657" w:hanging="360"/>
      </w:pPr>
      <w:rPr>
        <w:rFonts w:ascii="Courier New" w:hAnsi="Courier New" w:cs="Courier New" w:hint="default"/>
      </w:rPr>
    </w:lvl>
    <w:lvl w:ilvl="5" w:tplc="04090005" w:tentative="1">
      <w:start w:val="1"/>
      <w:numFmt w:val="bullet"/>
      <w:lvlText w:val=""/>
      <w:lvlJc w:val="left"/>
      <w:pPr>
        <w:ind w:left="4377" w:hanging="360"/>
      </w:pPr>
      <w:rPr>
        <w:rFonts w:ascii="Wingdings" w:hAnsi="Wingdings" w:hint="default"/>
      </w:rPr>
    </w:lvl>
    <w:lvl w:ilvl="6" w:tplc="04090001" w:tentative="1">
      <w:start w:val="1"/>
      <w:numFmt w:val="bullet"/>
      <w:lvlText w:val=""/>
      <w:lvlJc w:val="left"/>
      <w:pPr>
        <w:ind w:left="5097" w:hanging="360"/>
      </w:pPr>
      <w:rPr>
        <w:rFonts w:ascii="Symbol" w:hAnsi="Symbol" w:hint="default"/>
      </w:rPr>
    </w:lvl>
    <w:lvl w:ilvl="7" w:tplc="04090003" w:tentative="1">
      <w:start w:val="1"/>
      <w:numFmt w:val="bullet"/>
      <w:lvlText w:val="o"/>
      <w:lvlJc w:val="left"/>
      <w:pPr>
        <w:ind w:left="5817" w:hanging="360"/>
      </w:pPr>
      <w:rPr>
        <w:rFonts w:ascii="Courier New" w:hAnsi="Courier New" w:cs="Courier New" w:hint="default"/>
      </w:rPr>
    </w:lvl>
    <w:lvl w:ilvl="8" w:tplc="04090005" w:tentative="1">
      <w:start w:val="1"/>
      <w:numFmt w:val="bullet"/>
      <w:lvlText w:val=""/>
      <w:lvlJc w:val="left"/>
      <w:pPr>
        <w:ind w:left="6537" w:hanging="360"/>
      </w:pPr>
      <w:rPr>
        <w:rFonts w:ascii="Wingdings" w:hAnsi="Wingdings" w:hint="default"/>
      </w:rPr>
    </w:lvl>
  </w:abstractNum>
  <w:abstractNum w:abstractNumId="18" w15:restartNumberingAfterBreak="0">
    <w:nsid w:val="78CA3A03"/>
    <w:multiLevelType w:val="hybridMultilevel"/>
    <w:tmpl w:val="9DD8DAD2"/>
    <w:lvl w:ilvl="0" w:tplc="181A1E6A">
      <w:start w:val="1"/>
      <w:numFmt w:val="bullet"/>
      <w:lvlText w:val=""/>
      <w:lvlJc w:val="left"/>
      <w:pPr>
        <w:ind w:left="720" w:hanging="360"/>
      </w:pPr>
      <w:rPr>
        <w:rFonts w:ascii="Symbol" w:hAnsi="Symbol" w:hint="default"/>
        <w:color w:val="auto"/>
        <w:sz w:val="1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797E3A23"/>
    <w:multiLevelType w:val="hybridMultilevel"/>
    <w:tmpl w:val="4694F77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15:restartNumberingAfterBreak="0">
    <w:nsid w:val="79D649A0"/>
    <w:multiLevelType w:val="hybridMultilevel"/>
    <w:tmpl w:val="55586822"/>
    <w:lvl w:ilvl="0" w:tplc="54CA298E">
      <w:start w:val="1"/>
      <w:numFmt w:val="bullet"/>
      <w:pStyle w:val="SIBulletList1"/>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7F844335"/>
    <w:multiLevelType w:val="hybridMultilevel"/>
    <w:tmpl w:val="DE9A6FA2"/>
    <w:lvl w:ilvl="0" w:tplc="F51CB4D8">
      <w:start w:val="1"/>
      <w:numFmt w:val="bullet"/>
      <w:pStyle w:val="SIBody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num w:numId="1" w16cid:durableId="297801269">
    <w:abstractNumId w:val="6"/>
  </w:num>
  <w:num w:numId="2" w16cid:durableId="1214272854">
    <w:abstractNumId w:val="20"/>
  </w:num>
  <w:num w:numId="3" w16cid:durableId="1191070491">
    <w:abstractNumId w:val="4"/>
  </w:num>
  <w:num w:numId="4" w16cid:durableId="2034383821">
    <w:abstractNumId w:val="14"/>
  </w:num>
  <w:num w:numId="5" w16cid:durableId="707337960">
    <w:abstractNumId w:val="17"/>
  </w:num>
  <w:num w:numId="6" w16cid:durableId="1126705741">
    <w:abstractNumId w:val="3"/>
  </w:num>
  <w:num w:numId="7" w16cid:durableId="1782451590">
    <w:abstractNumId w:val="2"/>
  </w:num>
  <w:num w:numId="8" w16cid:durableId="1577322447">
    <w:abstractNumId w:val="9"/>
  </w:num>
  <w:num w:numId="9" w16cid:durableId="1512524036">
    <w:abstractNumId w:val="16"/>
  </w:num>
  <w:num w:numId="10" w16cid:durableId="574634207">
    <w:abstractNumId w:val="11"/>
  </w:num>
  <w:num w:numId="11" w16cid:durableId="20907919">
    <w:abstractNumId w:val="8"/>
  </w:num>
  <w:num w:numId="12" w16cid:durableId="427195326">
    <w:abstractNumId w:val="0"/>
  </w:num>
  <w:num w:numId="13" w16cid:durableId="344093335">
    <w:abstractNumId w:val="18"/>
  </w:num>
  <w:num w:numId="14" w16cid:durableId="390083602">
    <w:abstractNumId w:val="12"/>
  </w:num>
  <w:num w:numId="15" w16cid:durableId="1865901504">
    <w:abstractNumId w:val="1"/>
  </w:num>
  <w:num w:numId="16" w16cid:durableId="1025715536">
    <w:abstractNumId w:val="21"/>
  </w:num>
  <w:num w:numId="17" w16cid:durableId="1324552951">
    <w:abstractNumId w:val="13"/>
  </w:num>
  <w:num w:numId="18" w16cid:durableId="449710759">
    <w:abstractNumId w:val="15"/>
  </w:num>
  <w:num w:numId="19" w16cid:durableId="1233546288">
    <w:abstractNumId w:val="10"/>
  </w:num>
  <w:num w:numId="20" w16cid:durableId="388964094">
    <w:abstractNumId w:val="5"/>
  </w:num>
  <w:num w:numId="21" w16cid:durableId="1656370533">
    <w:abstractNumId w:val="7"/>
  </w:num>
  <w:num w:numId="22" w16cid:durableId="394819978">
    <w:abstractNumId w:val="1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isplayBackgroundShape/>
  <w:proofState w:spelling="clean" w:grammar="clean"/>
  <w:trackRevisions/>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33A7"/>
    <w:rsid w:val="00005EC0"/>
    <w:rsid w:val="00006021"/>
    <w:rsid w:val="00006B7E"/>
    <w:rsid w:val="00017748"/>
    <w:rsid w:val="000313C5"/>
    <w:rsid w:val="0003466E"/>
    <w:rsid w:val="00036FCD"/>
    <w:rsid w:val="00037CBF"/>
    <w:rsid w:val="000421A8"/>
    <w:rsid w:val="00042AC3"/>
    <w:rsid w:val="000433B3"/>
    <w:rsid w:val="00050BCC"/>
    <w:rsid w:val="000571FC"/>
    <w:rsid w:val="00062416"/>
    <w:rsid w:val="00063E88"/>
    <w:rsid w:val="00070726"/>
    <w:rsid w:val="0008014B"/>
    <w:rsid w:val="000A0ED0"/>
    <w:rsid w:val="000B6481"/>
    <w:rsid w:val="000C0A66"/>
    <w:rsid w:val="000C36CF"/>
    <w:rsid w:val="000E0737"/>
    <w:rsid w:val="000E1385"/>
    <w:rsid w:val="0010622C"/>
    <w:rsid w:val="001150EE"/>
    <w:rsid w:val="0012438A"/>
    <w:rsid w:val="00124EBA"/>
    <w:rsid w:val="00126926"/>
    <w:rsid w:val="001534A1"/>
    <w:rsid w:val="00155C05"/>
    <w:rsid w:val="0015680F"/>
    <w:rsid w:val="001613DA"/>
    <w:rsid w:val="00175411"/>
    <w:rsid w:val="00191032"/>
    <w:rsid w:val="001913AA"/>
    <w:rsid w:val="001972DD"/>
    <w:rsid w:val="001B1AE8"/>
    <w:rsid w:val="001B3A4B"/>
    <w:rsid w:val="001C0229"/>
    <w:rsid w:val="001E30C2"/>
    <w:rsid w:val="001E44D0"/>
    <w:rsid w:val="001E5B8C"/>
    <w:rsid w:val="001F2D84"/>
    <w:rsid w:val="001F58D7"/>
    <w:rsid w:val="00203B20"/>
    <w:rsid w:val="00210D83"/>
    <w:rsid w:val="002215C9"/>
    <w:rsid w:val="00235964"/>
    <w:rsid w:val="00236769"/>
    <w:rsid w:val="00236883"/>
    <w:rsid w:val="00236C0A"/>
    <w:rsid w:val="00237C12"/>
    <w:rsid w:val="00240C29"/>
    <w:rsid w:val="00241774"/>
    <w:rsid w:val="00243BA8"/>
    <w:rsid w:val="00255FD6"/>
    <w:rsid w:val="00257ED2"/>
    <w:rsid w:val="002702E0"/>
    <w:rsid w:val="00277652"/>
    <w:rsid w:val="0028094B"/>
    <w:rsid w:val="00281EB7"/>
    <w:rsid w:val="00294536"/>
    <w:rsid w:val="002A2DD8"/>
    <w:rsid w:val="002B067B"/>
    <w:rsid w:val="002B0DEC"/>
    <w:rsid w:val="002C2BAF"/>
    <w:rsid w:val="002C777E"/>
    <w:rsid w:val="002D4281"/>
    <w:rsid w:val="002D7EC1"/>
    <w:rsid w:val="002E1393"/>
    <w:rsid w:val="002E2D13"/>
    <w:rsid w:val="002E736E"/>
    <w:rsid w:val="002F0C0E"/>
    <w:rsid w:val="002F448E"/>
    <w:rsid w:val="002F4AB9"/>
    <w:rsid w:val="002F79F7"/>
    <w:rsid w:val="003012A3"/>
    <w:rsid w:val="003012C3"/>
    <w:rsid w:val="0030444B"/>
    <w:rsid w:val="00313EC0"/>
    <w:rsid w:val="00332282"/>
    <w:rsid w:val="003349AA"/>
    <w:rsid w:val="00354DB4"/>
    <w:rsid w:val="00356C60"/>
    <w:rsid w:val="00364C6E"/>
    <w:rsid w:val="00366F49"/>
    <w:rsid w:val="0037412E"/>
    <w:rsid w:val="00374D15"/>
    <w:rsid w:val="00380B28"/>
    <w:rsid w:val="00386EBA"/>
    <w:rsid w:val="003870B1"/>
    <w:rsid w:val="00387E25"/>
    <w:rsid w:val="003953A3"/>
    <w:rsid w:val="00396299"/>
    <w:rsid w:val="0039713A"/>
    <w:rsid w:val="003A6E93"/>
    <w:rsid w:val="003C12C8"/>
    <w:rsid w:val="003C17CF"/>
    <w:rsid w:val="003C21DA"/>
    <w:rsid w:val="003C3477"/>
    <w:rsid w:val="003E53B0"/>
    <w:rsid w:val="003E6C4B"/>
    <w:rsid w:val="003F3749"/>
    <w:rsid w:val="003F3B4E"/>
    <w:rsid w:val="003F41A4"/>
    <w:rsid w:val="0040475A"/>
    <w:rsid w:val="004055A2"/>
    <w:rsid w:val="00411306"/>
    <w:rsid w:val="00412E55"/>
    <w:rsid w:val="00415370"/>
    <w:rsid w:val="00415EA8"/>
    <w:rsid w:val="004245F5"/>
    <w:rsid w:val="00430E24"/>
    <w:rsid w:val="0043176A"/>
    <w:rsid w:val="00433465"/>
    <w:rsid w:val="00443295"/>
    <w:rsid w:val="004461E1"/>
    <w:rsid w:val="004467AB"/>
    <w:rsid w:val="00454D77"/>
    <w:rsid w:val="004553E1"/>
    <w:rsid w:val="00455F02"/>
    <w:rsid w:val="00460AB9"/>
    <w:rsid w:val="00465C0E"/>
    <w:rsid w:val="00482E01"/>
    <w:rsid w:val="004851F4"/>
    <w:rsid w:val="00486E7A"/>
    <w:rsid w:val="00496153"/>
    <w:rsid w:val="00496BD7"/>
    <w:rsid w:val="004A2335"/>
    <w:rsid w:val="004A5774"/>
    <w:rsid w:val="004A629B"/>
    <w:rsid w:val="004A6C1D"/>
    <w:rsid w:val="004B5C7F"/>
    <w:rsid w:val="004C01A0"/>
    <w:rsid w:val="004C0611"/>
    <w:rsid w:val="004C421D"/>
    <w:rsid w:val="004C6A79"/>
    <w:rsid w:val="004D1464"/>
    <w:rsid w:val="004D24B6"/>
    <w:rsid w:val="004D2FC8"/>
    <w:rsid w:val="004D4235"/>
    <w:rsid w:val="004F3D79"/>
    <w:rsid w:val="005072F6"/>
    <w:rsid w:val="00535F5E"/>
    <w:rsid w:val="00543564"/>
    <w:rsid w:val="00546ED8"/>
    <w:rsid w:val="0055409E"/>
    <w:rsid w:val="00560ABE"/>
    <w:rsid w:val="005616C1"/>
    <w:rsid w:val="0056561A"/>
    <w:rsid w:val="00566261"/>
    <w:rsid w:val="00574A47"/>
    <w:rsid w:val="0059665D"/>
    <w:rsid w:val="005A7BA7"/>
    <w:rsid w:val="005B1A53"/>
    <w:rsid w:val="005B4DB7"/>
    <w:rsid w:val="005C69B0"/>
    <w:rsid w:val="005C72C0"/>
    <w:rsid w:val="005D47C4"/>
    <w:rsid w:val="005D5A42"/>
    <w:rsid w:val="005E41A1"/>
    <w:rsid w:val="005F4A74"/>
    <w:rsid w:val="005F520D"/>
    <w:rsid w:val="006113FE"/>
    <w:rsid w:val="00615ADB"/>
    <w:rsid w:val="0062605C"/>
    <w:rsid w:val="00630399"/>
    <w:rsid w:val="00632F78"/>
    <w:rsid w:val="006332C4"/>
    <w:rsid w:val="006345BF"/>
    <w:rsid w:val="0065609C"/>
    <w:rsid w:val="00656D48"/>
    <w:rsid w:val="00656EAC"/>
    <w:rsid w:val="00663802"/>
    <w:rsid w:val="00667407"/>
    <w:rsid w:val="006736F0"/>
    <w:rsid w:val="0068487A"/>
    <w:rsid w:val="00696B01"/>
    <w:rsid w:val="006A57A0"/>
    <w:rsid w:val="006C0AA0"/>
    <w:rsid w:val="006D0436"/>
    <w:rsid w:val="006D2731"/>
    <w:rsid w:val="006D713A"/>
    <w:rsid w:val="006E424D"/>
    <w:rsid w:val="006F4F93"/>
    <w:rsid w:val="006F64B1"/>
    <w:rsid w:val="0070152D"/>
    <w:rsid w:val="00701A4F"/>
    <w:rsid w:val="00705188"/>
    <w:rsid w:val="007160B9"/>
    <w:rsid w:val="00731658"/>
    <w:rsid w:val="0073356F"/>
    <w:rsid w:val="00746BA6"/>
    <w:rsid w:val="00751D08"/>
    <w:rsid w:val="00754D0D"/>
    <w:rsid w:val="0078247F"/>
    <w:rsid w:val="007846CC"/>
    <w:rsid w:val="00787977"/>
    <w:rsid w:val="00794463"/>
    <w:rsid w:val="007A085B"/>
    <w:rsid w:val="007A6E8B"/>
    <w:rsid w:val="007A72C1"/>
    <w:rsid w:val="007B559E"/>
    <w:rsid w:val="007B78A0"/>
    <w:rsid w:val="007D112A"/>
    <w:rsid w:val="007D223F"/>
    <w:rsid w:val="007E7C83"/>
    <w:rsid w:val="00813F66"/>
    <w:rsid w:val="00826E12"/>
    <w:rsid w:val="00830AE1"/>
    <w:rsid w:val="00834B1F"/>
    <w:rsid w:val="00834E54"/>
    <w:rsid w:val="00835B02"/>
    <w:rsid w:val="008420A1"/>
    <w:rsid w:val="00844F15"/>
    <w:rsid w:val="00845B94"/>
    <w:rsid w:val="00851A03"/>
    <w:rsid w:val="00867A06"/>
    <w:rsid w:val="00877ECE"/>
    <w:rsid w:val="0088563E"/>
    <w:rsid w:val="00891637"/>
    <w:rsid w:val="00895E6F"/>
    <w:rsid w:val="00897DB0"/>
    <w:rsid w:val="008A0655"/>
    <w:rsid w:val="008A0FAF"/>
    <w:rsid w:val="008A1064"/>
    <w:rsid w:val="008A6945"/>
    <w:rsid w:val="008B091D"/>
    <w:rsid w:val="008C2B45"/>
    <w:rsid w:val="008D0A2D"/>
    <w:rsid w:val="008D1FD7"/>
    <w:rsid w:val="008D3F73"/>
    <w:rsid w:val="008D51B3"/>
    <w:rsid w:val="008E38F8"/>
    <w:rsid w:val="008E70F6"/>
    <w:rsid w:val="008F3C8A"/>
    <w:rsid w:val="009027DB"/>
    <w:rsid w:val="00915116"/>
    <w:rsid w:val="00925F73"/>
    <w:rsid w:val="00932231"/>
    <w:rsid w:val="009453DE"/>
    <w:rsid w:val="00945564"/>
    <w:rsid w:val="00954509"/>
    <w:rsid w:val="009556D2"/>
    <w:rsid w:val="00964CB9"/>
    <w:rsid w:val="0096509A"/>
    <w:rsid w:val="009778AB"/>
    <w:rsid w:val="00994A1F"/>
    <w:rsid w:val="009A1D99"/>
    <w:rsid w:val="009A23AD"/>
    <w:rsid w:val="009A2AE3"/>
    <w:rsid w:val="009A57CF"/>
    <w:rsid w:val="009A7CC3"/>
    <w:rsid w:val="009B0DF6"/>
    <w:rsid w:val="009D23E3"/>
    <w:rsid w:val="009D364F"/>
    <w:rsid w:val="009E61F9"/>
    <w:rsid w:val="009E684F"/>
    <w:rsid w:val="009E6E2B"/>
    <w:rsid w:val="009E74CB"/>
    <w:rsid w:val="009F7A60"/>
    <w:rsid w:val="00A03A37"/>
    <w:rsid w:val="00A04225"/>
    <w:rsid w:val="00A045C8"/>
    <w:rsid w:val="00A06230"/>
    <w:rsid w:val="00A12134"/>
    <w:rsid w:val="00A2526B"/>
    <w:rsid w:val="00A37A32"/>
    <w:rsid w:val="00A440F8"/>
    <w:rsid w:val="00A51E2D"/>
    <w:rsid w:val="00A546FF"/>
    <w:rsid w:val="00A62972"/>
    <w:rsid w:val="00A72CA9"/>
    <w:rsid w:val="00A73C89"/>
    <w:rsid w:val="00A758F3"/>
    <w:rsid w:val="00A86F24"/>
    <w:rsid w:val="00A9559F"/>
    <w:rsid w:val="00AA3B1E"/>
    <w:rsid w:val="00AA3FB8"/>
    <w:rsid w:val="00AB06AE"/>
    <w:rsid w:val="00AB12BD"/>
    <w:rsid w:val="00AB3178"/>
    <w:rsid w:val="00AB37DF"/>
    <w:rsid w:val="00AD4DF0"/>
    <w:rsid w:val="00AD5D48"/>
    <w:rsid w:val="00AD6A8C"/>
    <w:rsid w:val="00AE2A1C"/>
    <w:rsid w:val="00AF1364"/>
    <w:rsid w:val="00B035AE"/>
    <w:rsid w:val="00B135C3"/>
    <w:rsid w:val="00B17D94"/>
    <w:rsid w:val="00B21709"/>
    <w:rsid w:val="00B22AAA"/>
    <w:rsid w:val="00B260E9"/>
    <w:rsid w:val="00B37265"/>
    <w:rsid w:val="00B41D2A"/>
    <w:rsid w:val="00B42C86"/>
    <w:rsid w:val="00B43EBA"/>
    <w:rsid w:val="00B45D8F"/>
    <w:rsid w:val="00B5151F"/>
    <w:rsid w:val="00B6358D"/>
    <w:rsid w:val="00B75B2E"/>
    <w:rsid w:val="00B777F9"/>
    <w:rsid w:val="00B864DC"/>
    <w:rsid w:val="00B93686"/>
    <w:rsid w:val="00B93CD8"/>
    <w:rsid w:val="00BA3CE6"/>
    <w:rsid w:val="00BB1335"/>
    <w:rsid w:val="00BB4A74"/>
    <w:rsid w:val="00BB4D8B"/>
    <w:rsid w:val="00BB6B7F"/>
    <w:rsid w:val="00BD1339"/>
    <w:rsid w:val="00BE0C39"/>
    <w:rsid w:val="00BE12B8"/>
    <w:rsid w:val="00BE3DD6"/>
    <w:rsid w:val="00BF0E81"/>
    <w:rsid w:val="00BF18B5"/>
    <w:rsid w:val="00C03F7D"/>
    <w:rsid w:val="00C0614C"/>
    <w:rsid w:val="00C27D65"/>
    <w:rsid w:val="00C30981"/>
    <w:rsid w:val="00C446E2"/>
    <w:rsid w:val="00C47A39"/>
    <w:rsid w:val="00C56A1A"/>
    <w:rsid w:val="00C578FB"/>
    <w:rsid w:val="00C60BA2"/>
    <w:rsid w:val="00C65CF0"/>
    <w:rsid w:val="00C67A07"/>
    <w:rsid w:val="00C7169C"/>
    <w:rsid w:val="00C72807"/>
    <w:rsid w:val="00C76FB4"/>
    <w:rsid w:val="00C86049"/>
    <w:rsid w:val="00CA327A"/>
    <w:rsid w:val="00CB0B46"/>
    <w:rsid w:val="00CB16E7"/>
    <w:rsid w:val="00CB23B7"/>
    <w:rsid w:val="00CB3B3E"/>
    <w:rsid w:val="00CC0C2A"/>
    <w:rsid w:val="00CC649D"/>
    <w:rsid w:val="00CD1CA5"/>
    <w:rsid w:val="00CF3EBC"/>
    <w:rsid w:val="00D05772"/>
    <w:rsid w:val="00D120A1"/>
    <w:rsid w:val="00D213D5"/>
    <w:rsid w:val="00D30D2E"/>
    <w:rsid w:val="00D32894"/>
    <w:rsid w:val="00D34B13"/>
    <w:rsid w:val="00D35C59"/>
    <w:rsid w:val="00D45FC2"/>
    <w:rsid w:val="00D52D6A"/>
    <w:rsid w:val="00D533A7"/>
    <w:rsid w:val="00D56593"/>
    <w:rsid w:val="00D6174B"/>
    <w:rsid w:val="00D744DC"/>
    <w:rsid w:val="00D83990"/>
    <w:rsid w:val="00D957B1"/>
    <w:rsid w:val="00DB59E7"/>
    <w:rsid w:val="00DB72FC"/>
    <w:rsid w:val="00DC08DC"/>
    <w:rsid w:val="00DC7C52"/>
    <w:rsid w:val="00E0028B"/>
    <w:rsid w:val="00E06B6A"/>
    <w:rsid w:val="00E07766"/>
    <w:rsid w:val="00E07F04"/>
    <w:rsid w:val="00E119A8"/>
    <w:rsid w:val="00E218BC"/>
    <w:rsid w:val="00E30944"/>
    <w:rsid w:val="00E535DB"/>
    <w:rsid w:val="00E550C7"/>
    <w:rsid w:val="00E56D65"/>
    <w:rsid w:val="00E836EE"/>
    <w:rsid w:val="00E84724"/>
    <w:rsid w:val="00EA01AD"/>
    <w:rsid w:val="00EA3127"/>
    <w:rsid w:val="00EB0610"/>
    <w:rsid w:val="00EB6CF4"/>
    <w:rsid w:val="00EC7CB9"/>
    <w:rsid w:val="00EE0DC1"/>
    <w:rsid w:val="00F15333"/>
    <w:rsid w:val="00F21A16"/>
    <w:rsid w:val="00F22FBA"/>
    <w:rsid w:val="00F43710"/>
    <w:rsid w:val="00F50A63"/>
    <w:rsid w:val="00F52460"/>
    <w:rsid w:val="00F526D9"/>
    <w:rsid w:val="00F53539"/>
    <w:rsid w:val="00F575E8"/>
    <w:rsid w:val="00F64995"/>
    <w:rsid w:val="00F65699"/>
    <w:rsid w:val="00F7169E"/>
    <w:rsid w:val="00F84D09"/>
    <w:rsid w:val="00F94DC5"/>
    <w:rsid w:val="00FA0C19"/>
    <w:rsid w:val="00FB34CE"/>
    <w:rsid w:val="00FB5B29"/>
    <w:rsid w:val="00FC32FD"/>
    <w:rsid w:val="00FC5B06"/>
    <w:rsid w:val="00FC5E01"/>
    <w:rsid w:val="00FC65F8"/>
    <w:rsid w:val="00FF1532"/>
    <w:rsid w:val="00FF29CE"/>
    <w:rsid w:val="00FF559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C8731F"/>
  <w15:chartTrackingRefBased/>
  <w15:docId w15:val="{B5489554-3B8C-C74E-B1D3-7FE99767A1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5FD6"/>
    <w:rPr>
      <w:rFonts w:ascii="Aptos" w:hAnsi="Aptos" w:cs="Calibri"/>
      <w14:ligatures w14:val="standardContextual"/>
    </w:rPr>
  </w:style>
  <w:style w:type="paragraph" w:styleId="Heading1">
    <w:name w:val="heading 1"/>
    <w:basedOn w:val="Normal"/>
    <w:next w:val="Normal"/>
    <w:link w:val="Heading1Char"/>
    <w:uiPriority w:val="9"/>
    <w:rsid w:val="00BE3DD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rsid w:val="00BE3DD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932231"/>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932231"/>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932231"/>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072F6"/>
    <w:pPr>
      <w:tabs>
        <w:tab w:val="center" w:pos="4513"/>
        <w:tab w:val="right" w:pos="9026"/>
      </w:tabs>
    </w:pPr>
  </w:style>
  <w:style w:type="character" w:customStyle="1" w:styleId="HeaderChar">
    <w:name w:val="Header Char"/>
    <w:basedOn w:val="DefaultParagraphFont"/>
    <w:link w:val="Header"/>
    <w:uiPriority w:val="99"/>
    <w:rsid w:val="005072F6"/>
  </w:style>
  <w:style w:type="paragraph" w:styleId="Footer">
    <w:name w:val="footer"/>
    <w:basedOn w:val="Normal"/>
    <w:link w:val="FooterChar"/>
    <w:uiPriority w:val="99"/>
    <w:unhideWhenUsed/>
    <w:rsid w:val="005072F6"/>
    <w:pPr>
      <w:tabs>
        <w:tab w:val="center" w:pos="4513"/>
        <w:tab w:val="right" w:pos="9026"/>
      </w:tabs>
    </w:pPr>
  </w:style>
  <w:style w:type="character" w:customStyle="1" w:styleId="FooterChar">
    <w:name w:val="Footer Char"/>
    <w:basedOn w:val="DefaultParagraphFont"/>
    <w:link w:val="Footer"/>
    <w:uiPriority w:val="99"/>
    <w:rsid w:val="005072F6"/>
  </w:style>
  <w:style w:type="paragraph" w:styleId="TOC1">
    <w:name w:val="toc 1"/>
    <w:basedOn w:val="Normal"/>
    <w:next w:val="Normal"/>
    <w:autoRedefine/>
    <w:uiPriority w:val="39"/>
    <w:unhideWhenUsed/>
    <w:rsid w:val="00386EBA"/>
    <w:rPr>
      <w:rFonts w:ascii="Avenir Medium" w:hAnsi="Avenir Medium"/>
      <w:sz w:val="40"/>
      <w:szCs w:val="40"/>
    </w:rPr>
  </w:style>
  <w:style w:type="paragraph" w:styleId="TOC2">
    <w:name w:val="toc 2"/>
    <w:basedOn w:val="Normal"/>
    <w:next w:val="Normal"/>
    <w:autoRedefine/>
    <w:uiPriority w:val="39"/>
    <w:unhideWhenUsed/>
    <w:rsid w:val="00386EBA"/>
    <w:pPr>
      <w:spacing w:before="80" w:after="80"/>
    </w:pPr>
    <w:rPr>
      <w:rFonts w:ascii="Avenir Medium" w:hAnsi="Avenir Medium"/>
      <w:sz w:val="28"/>
      <w:szCs w:val="28"/>
    </w:rPr>
  </w:style>
  <w:style w:type="paragraph" w:styleId="TOC3">
    <w:name w:val="toc 3"/>
    <w:basedOn w:val="Normal"/>
    <w:next w:val="Normal"/>
    <w:autoRedefine/>
    <w:uiPriority w:val="39"/>
    <w:unhideWhenUsed/>
    <w:rsid w:val="00386EBA"/>
    <w:pPr>
      <w:spacing w:before="80" w:after="80"/>
    </w:pPr>
    <w:rPr>
      <w:rFonts w:ascii="Avenir Medium" w:hAnsi="Avenir Medium"/>
    </w:rPr>
  </w:style>
  <w:style w:type="paragraph" w:styleId="TOC4">
    <w:name w:val="toc 4"/>
    <w:basedOn w:val="Normal"/>
    <w:next w:val="Normal"/>
    <w:autoRedefine/>
    <w:uiPriority w:val="39"/>
    <w:unhideWhenUsed/>
    <w:rsid w:val="00386EBA"/>
    <w:pPr>
      <w:spacing w:before="80" w:after="80"/>
    </w:pPr>
    <w:rPr>
      <w:rFonts w:ascii="Avenir Book" w:hAnsi="Avenir Book"/>
    </w:rPr>
  </w:style>
  <w:style w:type="paragraph" w:styleId="TOC5">
    <w:name w:val="toc 5"/>
    <w:basedOn w:val="Normal"/>
    <w:next w:val="Normal"/>
    <w:autoRedefine/>
    <w:uiPriority w:val="39"/>
    <w:unhideWhenUsed/>
    <w:rsid w:val="00386EBA"/>
    <w:pPr>
      <w:spacing w:before="80" w:after="80"/>
    </w:pPr>
    <w:rPr>
      <w:rFonts w:ascii="Avenir Book" w:hAnsi="Avenir Book"/>
      <w:sz w:val="21"/>
      <w:szCs w:val="21"/>
    </w:rPr>
  </w:style>
  <w:style w:type="paragraph" w:styleId="TOC6">
    <w:name w:val="toc 6"/>
    <w:basedOn w:val="Normal"/>
    <w:next w:val="Normal"/>
    <w:autoRedefine/>
    <w:uiPriority w:val="39"/>
    <w:unhideWhenUsed/>
    <w:rsid w:val="00042AC3"/>
    <w:pPr>
      <w:ind w:left="960"/>
    </w:pPr>
    <w:rPr>
      <w:rFonts w:cstheme="minorHAnsi"/>
      <w:sz w:val="20"/>
      <w:szCs w:val="20"/>
    </w:rPr>
  </w:style>
  <w:style w:type="paragraph" w:styleId="TOC7">
    <w:name w:val="toc 7"/>
    <w:basedOn w:val="Normal"/>
    <w:next w:val="Normal"/>
    <w:autoRedefine/>
    <w:uiPriority w:val="39"/>
    <w:unhideWhenUsed/>
    <w:rsid w:val="00042AC3"/>
    <w:pPr>
      <w:ind w:left="1200"/>
    </w:pPr>
    <w:rPr>
      <w:rFonts w:cstheme="minorHAnsi"/>
      <w:sz w:val="20"/>
      <w:szCs w:val="20"/>
    </w:rPr>
  </w:style>
  <w:style w:type="paragraph" w:styleId="TOC8">
    <w:name w:val="toc 8"/>
    <w:basedOn w:val="Normal"/>
    <w:next w:val="Normal"/>
    <w:autoRedefine/>
    <w:uiPriority w:val="39"/>
    <w:unhideWhenUsed/>
    <w:rsid w:val="00042AC3"/>
    <w:pPr>
      <w:ind w:left="1440"/>
    </w:pPr>
    <w:rPr>
      <w:rFonts w:cstheme="minorHAnsi"/>
      <w:sz w:val="20"/>
      <w:szCs w:val="20"/>
    </w:rPr>
  </w:style>
  <w:style w:type="paragraph" w:styleId="TOC9">
    <w:name w:val="toc 9"/>
    <w:basedOn w:val="Normal"/>
    <w:next w:val="Normal"/>
    <w:autoRedefine/>
    <w:uiPriority w:val="39"/>
    <w:unhideWhenUsed/>
    <w:rsid w:val="00042AC3"/>
    <w:pPr>
      <w:ind w:left="1680"/>
    </w:pPr>
    <w:rPr>
      <w:rFonts w:cstheme="minorHAnsi"/>
      <w:sz w:val="20"/>
      <w:szCs w:val="20"/>
    </w:rPr>
  </w:style>
  <w:style w:type="character" w:styleId="PageNumber">
    <w:name w:val="page number"/>
    <w:basedOn w:val="DefaultParagraphFont"/>
    <w:uiPriority w:val="99"/>
    <w:semiHidden/>
    <w:unhideWhenUsed/>
    <w:rsid w:val="00070726"/>
  </w:style>
  <w:style w:type="table" w:styleId="TableGrid">
    <w:name w:val="Table Grid"/>
    <w:basedOn w:val="TableNormal"/>
    <w:uiPriority w:val="39"/>
    <w:rsid w:val="000707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Heading1">
    <w:name w:val="SI Heading 1"/>
    <w:basedOn w:val="Heading1"/>
    <w:qFormat/>
    <w:rsid w:val="00932231"/>
    <w:pPr>
      <w:spacing w:after="600"/>
    </w:pPr>
    <w:rPr>
      <w:rFonts w:ascii="Avenir Medium" w:hAnsi="Avenir Medium"/>
      <w:b/>
      <w:bCs/>
      <w:color w:val="1E3531"/>
      <w:sz w:val="56"/>
      <w:szCs w:val="56"/>
    </w:rPr>
  </w:style>
  <w:style w:type="paragraph" w:customStyle="1" w:styleId="SIHeading2">
    <w:name w:val="SI Heading 2"/>
    <w:basedOn w:val="Heading2"/>
    <w:next w:val="SIBodyText"/>
    <w:rsid w:val="00E550C7"/>
    <w:pPr>
      <w:spacing w:after="240"/>
    </w:pPr>
    <w:rPr>
      <w:rFonts w:ascii="Avenir Medium" w:hAnsi="Avenir Medium"/>
      <w:b/>
      <w:bCs/>
      <w:color w:val="1E3531"/>
      <w:sz w:val="48"/>
      <w:szCs w:val="48"/>
    </w:rPr>
  </w:style>
  <w:style w:type="paragraph" w:customStyle="1" w:styleId="SIHeading3">
    <w:name w:val="SI Heading 3"/>
    <w:basedOn w:val="Heading3"/>
    <w:rsid w:val="00E550C7"/>
    <w:pPr>
      <w:spacing w:after="240"/>
    </w:pPr>
    <w:rPr>
      <w:rFonts w:ascii="Avenir Medium" w:hAnsi="Avenir Medium"/>
      <w:b/>
      <w:bCs/>
      <w:color w:val="1E3531"/>
      <w:sz w:val="36"/>
      <w:szCs w:val="36"/>
    </w:rPr>
  </w:style>
  <w:style w:type="paragraph" w:customStyle="1" w:styleId="SIHeading4">
    <w:name w:val="SI Heading 4"/>
    <w:basedOn w:val="Heading4"/>
    <w:next w:val="SIBodyText"/>
    <w:rsid w:val="00E550C7"/>
    <w:pPr>
      <w:spacing w:after="200"/>
    </w:pPr>
    <w:rPr>
      <w:rFonts w:ascii="Avenir Book" w:hAnsi="Avenir Book"/>
      <w:b/>
      <w:bCs/>
      <w:i w:val="0"/>
      <w:color w:val="1E3531"/>
      <w:sz w:val="28"/>
      <w:szCs w:val="28"/>
    </w:rPr>
  </w:style>
  <w:style w:type="paragraph" w:customStyle="1" w:styleId="SIBodyText">
    <w:name w:val="SI Body Text"/>
    <w:basedOn w:val="Normal"/>
    <w:rsid w:val="00E550C7"/>
    <w:pPr>
      <w:spacing w:after="120" w:line="276" w:lineRule="auto"/>
    </w:pPr>
    <w:rPr>
      <w:rFonts w:ascii="Avenir Book" w:hAnsi="Avenir Book"/>
      <w:color w:val="1E3531"/>
    </w:rPr>
  </w:style>
  <w:style w:type="paragraph" w:customStyle="1" w:styleId="SITableHeading1">
    <w:name w:val="SI Table Heading 1"/>
    <w:basedOn w:val="Normal"/>
    <w:qFormat/>
    <w:rsid w:val="00932231"/>
    <w:pPr>
      <w:spacing w:before="200" w:after="200"/>
    </w:pPr>
    <w:rPr>
      <w:rFonts w:ascii="Avenir Book" w:hAnsi="Avenir Book"/>
      <w:b/>
      <w:bCs/>
      <w:color w:val="4C7D2C"/>
    </w:rPr>
  </w:style>
  <w:style w:type="paragraph" w:customStyle="1" w:styleId="SITableHeading2">
    <w:name w:val="SI Table Heading 2"/>
    <w:basedOn w:val="Normal"/>
    <w:autoRedefine/>
    <w:qFormat/>
    <w:rsid w:val="00932231"/>
    <w:pPr>
      <w:spacing w:before="200" w:after="240"/>
      <w:ind w:left="57"/>
    </w:pPr>
    <w:rPr>
      <w:rFonts w:ascii="Avenir Medium" w:hAnsi="Avenir Medium" w:cs="Open Sans"/>
      <w:color w:val="4C7D2C"/>
      <w:sz w:val="21"/>
      <w:szCs w:val="21"/>
    </w:rPr>
  </w:style>
  <w:style w:type="paragraph" w:customStyle="1" w:styleId="SITableBody">
    <w:name w:val="SI Table Body"/>
    <w:basedOn w:val="Normal"/>
    <w:qFormat/>
    <w:rsid w:val="00932231"/>
    <w:pPr>
      <w:spacing w:before="200" w:after="240"/>
      <w:ind w:left="57"/>
    </w:pPr>
    <w:rPr>
      <w:rFonts w:ascii="Avenir Book" w:hAnsi="Avenir Book"/>
      <w:color w:val="1E3531"/>
      <w:sz w:val="21"/>
      <w:szCs w:val="21"/>
    </w:rPr>
  </w:style>
  <w:style w:type="character" w:styleId="Hyperlink">
    <w:name w:val="Hyperlink"/>
    <w:basedOn w:val="DefaultParagraphFont"/>
    <w:uiPriority w:val="99"/>
    <w:unhideWhenUsed/>
    <w:rsid w:val="00BE3DD6"/>
    <w:rPr>
      <w:color w:val="0563C1" w:themeColor="hyperlink"/>
      <w:u w:val="single"/>
    </w:rPr>
  </w:style>
  <w:style w:type="character" w:customStyle="1" w:styleId="Heading1Char">
    <w:name w:val="Heading 1 Char"/>
    <w:basedOn w:val="DefaultParagraphFont"/>
    <w:link w:val="Heading1"/>
    <w:uiPriority w:val="9"/>
    <w:rsid w:val="00BE3DD6"/>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BE3DD6"/>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sid w:val="00932231"/>
    <w:rPr>
      <w:rFonts w:asciiTheme="majorHAnsi" w:eastAsiaTheme="majorEastAsia" w:hAnsiTheme="majorHAnsi" w:cstheme="majorBidi"/>
      <w:color w:val="1F3763" w:themeColor="accent1" w:themeShade="7F"/>
    </w:rPr>
  </w:style>
  <w:style w:type="character" w:customStyle="1" w:styleId="Heading5Char">
    <w:name w:val="Heading 5 Char"/>
    <w:basedOn w:val="DefaultParagraphFont"/>
    <w:link w:val="Heading5"/>
    <w:uiPriority w:val="9"/>
    <w:semiHidden/>
    <w:rsid w:val="00932231"/>
    <w:rPr>
      <w:rFonts w:asciiTheme="majorHAnsi" w:eastAsiaTheme="majorEastAsia" w:hAnsiTheme="majorHAnsi" w:cstheme="majorBidi"/>
      <w:color w:val="2F5496" w:themeColor="accent1" w:themeShade="BF"/>
    </w:rPr>
  </w:style>
  <w:style w:type="paragraph" w:customStyle="1" w:styleId="SIPullQuote">
    <w:name w:val="SI Pull Quote"/>
    <w:basedOn w:val="Normal"/>
    <w:rsid w:val="00E550C7"/>
    <w:pPr>
      <w:spacing w:after="360"/>
      <w:ind w:right="794"/>
    </w:pPr>
    <w:rPr>
      <w:rFonts w:ascii="Avenir Book" w:hAnsi="Avenir Book"/>
      <w:b/>
      <w:bCs/>
      <w:color w:val="4C7D2C"/>
      <w:sz w:val="28"/>
      <w:szCs w:val="28"/>
    </w:rPr>
  </w:style>
  <w:style w:type="character" w:customStyle="1" w:styleId="Heading4Char">
    <w:name w:val="Heading 4 Char"/>
    <w:basedOn w:val="DefaultParagraphFont"/>
    <w:link w:val="Heading4"/>
    <w:uiPriority w:val="9"/>
    <w:semiHidden/>
    <w:rsid w:val="00932231"/>
    <w:rPr>
      <w:rFonts w:asciiTheme="majorHAnsi" w:eastAsiaTheme="majorEastAsia" w:hAnsiTheme="majorHAnsi" w:cstheme="majorBidi"/>
      <w:i/>
      <w:iCs/>
      <w:color w:val="2F5496" w:themeColor="accent1" w:themeShade="BF"/>
    </w:rPr>
  </w:style>
  <w:style w:type="paragraph" w:styleId="Quote">
    <w:name w:val="Quote"/>
    <w:basedOn w:val="Normal"/>
    <w:next w:val="Normal"/>
    <w:link w:val="QuoteChar"/>
    <w:uiPriority w:val="29"/>
    <w:rsid w:val="00BE0C39"/>
    <w:pPr>
      <w:spacing w:before="200" w:after="160"/>
      <w:ind w:left="864" w:right="864"/>
      <w:jc w:val="center"/>
    </w:pPr>
    <w:rPr>
      <w:i/>
      <w:iCs/>
      <w:color w:val="404040" w:themeColor="text1" w:themeTint="BF"/>
    </w:rPr>
  </w:style>
  <w:style w:type="character" w:customStyle="1" w:styleId="QuoteChar">
    <w:name w:val="Quote Char"/>
    <w:basedOn w:val="DefaultParagraphFont"/>
    <w:link w:val="Quote"/>
    <w:uiPriority w:val="29"/>
    <w:rsid w:val="00BE0C39"/>
    <w:rPr>
      <w:i/>
      <w:iCs/>
      <w:color w:val="404040" w:themeColor="text1" w:themeTint="BF"/>
    </w:rPr>
  </w:style>
  <w:style w:type="paragraph" w:customStyle="1" w:styleId="SIDotpoints">
    <w:name w:val="SI Dot points"/>
    <w:basedOn w:val="SIBodyText"/>
    <w:rsid w:val="004F3D79"/>
  </w:style>
  <w:style w:type="paragraph" w:customStyle="1" w:styleId="Heading1SI">
    <w:name w:val="Heading 1 SI"/>
    <w:basedOn w:val="Heading1"/>
    <w:qFormat/>
    <w:rsid w:val="00932231"/>
    <w:pPr>
      <w:spacing w:after="600"/>
    </w:pPr>
    <w:rPr>
      <w:rFonts w:ascii="Avenir Medium" w:hAnsi="Avenir Medium"/>
      <w:b/>
      <w:bCs/>
      <w:color w:val="1E3531"/>
      <w:sz w:val="56"/>
      <w:szCs w:val="56"/>
    </w:rPr>
  </w:style>
  <w:style w:type="paragraph" w:customStyle="1" w:styleId="Heading2SI">
    <w:name w:val="Heading 2 SI"/>
    <w:basedOn w:val="Heading2"/>
    <w:next w:val="BodyTextSI"/>
    <w:qFormat/>
    <w:rsid w:val="00932231"/>
    <w:pPr>
      <w:spacing w:after="240"/>
    </w:pPr>
    <w:rPr>
      <w:rFonts w:ascii="Avenir Medium" w:hAnsi="Avenir Medium"/>
      <w:b/>
      <w:bCs/>
      <w:color w:val="1E3531"/>
      <w:sz w:val="48"/>
      <w:szCs w:val="48"/>
    </w:rPr>
  </w:style>
  <w:style w:type="paragraph" w:customStyle="1" w:styleId="Heading3SI">
    <w:name w:val="Heading 3 SI"/>
    <w:basedOn w:val="Heading3"/>
    <w:qFormat/>
    <w:rsid w:val="00932231"/>
    <w:pPr>
      <w:spacing w:after="240"/>
    </w:pPr>
    <w:rPr>
      <w:rFonts w:ascii="Avenir Medium" w:hAnsi="Avenir Medium"/>
      <w:b/>
      <w:bCs/>
      <w:color w:val="1E3531"/>
      <w:sz w:val="36"/>
      <w:szCs w:val="36"/>
    </w:rPr>
  </w:style>
  <w:style w:type="paragraph" w:customStyle="1" w:styleId="Heading4SI">
    <w:name w:val="Heading 4 SI"/>
    <w:basedOn w:val="Heading4"/>
    <w:next w:val="BodyTextSI"/>
    <w:qFormat/>
    <w:rsid w:val="00932231"/>
    <w:pPr>
      <w:spacing w:after="200"/>
    </w:pPr>
    <w:rPr>
      <w:rFonts w:ascii="Avenir Book" w:hAnsi="Avenir Book"/>
      <w:b/>
      <w:bCs/>
      <w:i w:val="0"/>
      <w:color w:val="1E3531"/>
      <w:sz w:val="28"/>
      <w:szCs w:val="28"/>
    </w:rPr>
  </w:style>
  <w:style w:type="paragraph" w:customStyle="1" w:styleId="BodyTextSI">
    <w:name w:val="Body Text SI"/>
    <w:basedOn w:val="Normal"/>
    <w:link w:val="BodyTextSIChar"/>
    <w:qFormat/>
    <w:rsid w:val="00932231"/>
    <w:pPr>
      <w:spacing w:after="120" w:line="276" w:lineRule="auto"/>
    </w:pPr>
    <w:rPr>
      <w:rFonts w:ascii="Avenir Book" w:hAnsi="Avenir Book"/>
      <w:color w:val="1E3531"/>
    </w:rPr>
  </w:style>
  <w:style w:type="character" w:customStyle="1" w:styleId="BodyTextSIChar">
    <w:name w:val="Body Text SI Char"/>
    <w:basedOn w:val="DefaultParagraphFont"/>
    <w:link w:val="BodyTextSI"/>
    <w:rsid w:val="00932231"/>
    <w:rPr>
      <w:rFonts w:ascii="Avenir Book" w:hAnsi="Avenir Book"/>
      <w:color w:val="1E3531"/>
    </w:rPr>
  </w:style>
  <w:style w:type="paragraph" w:customStyle="1" w:styleId="PullQuoteSI">
    <w:name w:val="Pull Quote SI"/>
    <w:basedOn w:val="Normal"/>
    <w:qFormat/>
    <w:rsid w:val="00932231"/>
    <w:pPr>
      <w:spacing w:after="360"/>
      <w:ind w:right="794"/>
    </w:pPr>
    <w:rPr>
      <w:rFonts w:ascii="Avenir Book" w:hAnsi="Avenir Book"/>
      <w:b/>
      <w:bCs/>
      <w:color w:val="4C7D2C"/>
      <w:sz w:val="28"/>
      <w:szCs w:val="28"/>
    </w:rPr>
  </w:style>
  <w:style w:type="paragraph" w:customStyle="1" w:styleId="DotpointsSI">
    <w:name w:val="Dot points SI"/>
    <w:basedOn w:val="BodyTextSI"/>
    <w:link w:val="DotpointsSIChar"/>
    <w:qFormat/>
    <w:rsid w:val="00932231"/>
    <w:pPr>
      <w:numPr>
        <w:numId w:val="1"/>
      </w:numPr>
      <w:spacing w:after="0"/>
      <w:contextualSpacing/>
    </w:pPr>
  </w:style>
  <w:style w:type="character" w:customStyle="1" w:styleId="DotpointsSIChar">
    <w:name w:val="Dot points SI Char"/>
    <w:basedOn w:val="BodyTextSIChar"/>
    <w:link w:val="DotpointsSI"/>
    <w:rsid w:val="00932231"/>
    <w:rPr>
      <w:rFonts w:ascii="Avenir Book" w:hAnsi="Avenir Book" w:cs="Calibri"/>
      <w:color w:val="1E3531"/>
      <w14:ligatures w14:val="standardContextual"/>
    </w:rPr>
  </w:style>
  <w:style w:type="paragraph" w:customStyle="1" w:styleId="SICoverTItle">
    <w:name w:val="SI Cover TItle"/>
    <w:basedOn w:val="Normal"/>
    <w:link w:val="SICoverTItleChar"/>
    <w:qFormat/>
    <w:rsid w:val="00932231"/>
    <w:rPr>
      <w:rFonts w:ascii="Avenir Medium" w:hAnsi="Avenir Medium"/>
      <w:color w:val="E8E4DB"/>
      <w:sz w:val="60"/>
      <w:szCs w:val="60"/>
    </w:rPr>
  </w:style>
  <w:style w:type="character" w:customStyle="1" w:styleId="SICoverTItleChar">
    <w:name w:val="SI Cover TItle Char"/>
    <w:basedOn w:val="DefaultParagraphFont"/>
    <w:link w:val="SICoverTItle"/>
    <w:rsid w:val="00932231"/>
    <w:rPr>
      <w:rFonts w:ascii="Avenir Medium" w:hAnsi="Avenir Medium"/>
      <w:color w:val="E8E4DB"/>
      <w:sz w:val="60"/>
      <w:szCs w:val="60"/>
    </w:rPr>
  </w:style>
  <w:style w:type="paragraph" w:customStyle="1" w:styleId="SICoversubtitle">
    <w:name w:val="SI Cover subtitle"/>
    <w:basedOn w:val="Normal"/>
    <w:link w:val="SICoversubtitleChar"/>
    <w:qFormat/>
    <w:rsid w:val="00932231"/>
    <w:rPr>
      <w:rFonts w:ascii="Avenir Book" w:hAnsi="Avenir Book"/>
      <w:color w:val="E8E4DB"/>
      <w:sz w:val="28"/>
      <w:szCs w:val="28"/>
    </w:rPr>
  </w:style>
  <w:style w:type="character" w:customStyle="1" w:styleId="SICoversubtitleChar">
    <w:name w:val="SI Cover subtitle Char"/>
    <w:basedOn w:val="DefaultParagraphFont"/>
    <w:link w:val="SICoversubtitle"/>
    <w:rsid w:val="00932231"/>
    <w:rPr>
      <w:rFonts w:ascii="Avenir Book" w:hAnsi="Avenir Book"/>
      <w:color w:val="E8E4DB"/>
      <w:sz w:val="28"/>
      <w:szCs w:val="28"/>
    </w:rPr>
  </w:style>
  <w:style w:type="paragraph" w:customStyle="1" w:styleId="SIContentpageheading1">
    <w:name w:val="SI Content page heading 1"/>
    <w:basedOn w:val="TOC2"/>
    <w:link w:val="SIContentpageheading1Char"/>
    <w:qFormat/>
    <w:rsid w:val="00932231"/>
    <w:pPr>
      <w:tabs>
        <w:tab w:val="right" w:leader="dot" w:pos="9402"/>
      </w:tabs>
    </w:pPr>
    <w:rPr>
      <w:noProof/>
    </w:rPr>
  </w:style>
  <w:style w:type="character" w:customStyle="1" w:styleId="SIContentpageheading1Char">
    <w:name w:val="SI Content page heading 1 Char"/>
    <w:basedOn w:val="DefaultParagraphFont"/>
    <w:link w:val="SIContentpageheading1"/>
    <w:rsid w:val="00932231"/>
    <w:rPr>
      <w:rFonts w:ascii="Avenir Medium" w:hAnsi="Avenir Medium"/>
      <w:noProof/>
      <w:sz w:val="28"/>
      <w:szCs w:val="28"/>
    </w:rPr>
  </w:style>
  <w:style w:type="paragraph" w:customStyle="1" w:styleId="SIContentspageheading2">
    <w:name w:val="SI Contents page heading 2"/>
    <w:basedOn w:val="TOC3"/>
    <w:link w:val="SIContentspageheading2Char"/>
    <w:qFormat/>
    <w:rsid w:val="00932231"/>
    <w:pPr>
      <w:tabs>
        <w:tab w:val="right" w:leader="dot" w:pos="9402"/>
      </w:tabs>
    </w:pPr>
    <w:rPr>
      <w:noProof/>
    </w:rPr>
  </w:style>
  <w:style w:type="character" w:customStyle="1" w:styleId="SIContentspageheading2Char">
    <w:name w:val="SI Contents page heading 2 Char"/>
    <w:basedOn w:val="DefaultParagraphFont"/>
    <w:link w:val="SIContentspageheading2"/>
    <w:rsid w:val="00932231"/>
    <w:rPr>
      <w:rFonts w:ascii="Avenir Medium" w:hAnsi="Avenir Medium"/>
      <w:noProof/>
    </w:rPr>
  </w:style>
  <w:style w:type="paragraph" w:customStyle="1" w:styleId="SIContentspageheading3">
    <w:name w:val="SI Contents page heading 3"/>
    <w:basedOn w:val="TOC4"/>
    <w:link w:val="SIContentspageheading3Char"/>
    <w:qFormat/>
    <w:rsid w:val="00932231"/>
    <w:pPr>
      <w:tabs>
        <w:tab w:val="right" w:leader="dot" w:pos="9402"/>
      </w:tabs>
    </w:pPr>
    <w:rPr>
      <w:noProof/>
    </w:rPr>
  </w:style>
  <w:style w:type="character" w:customStyle="1" w:styleId="SIContentspageheading3Char">
    <w:name w:val="SI Contents page heading 3 Char"/>
    <w:basedOn w:val="DefaultParagraphFont"/>
    <w:link w:val="SIContentspageheading3"/>
    <w:rsid w:val="00932231"/>
    <w:rPr>
      <w:rFonts w:ascii="Avenir Book" w:hAnsi="Avenir Book"/>
      <w:noProof/>
    </w:rPr>
  </w:style>
  <w:style w:type="paragraph" w:customStyle="1" w:styleId="SIContentspageheading4">
    <w:name w:val="SI Contents page heading 4"/>
    <w:basedOn w:val="TOC5"/>
    <w:link w:val="SIContentspageheading4Char"/>
    <w:qFormat/>
    <w:rsid w:val="00932231"/>
    <w:pPr>
      <w:tabs>
        <w:tab w:val="right" w:leader="dot" w:pos="9402"/>
      </w:tabs>
    </w:pPr>
    <w:rPr>
      <w:noProof/>
    </w:rPr>
  </w:style>
  <w:style w:type="character" w:customStyle="1" w:styleId="SIContentspageheading4Char">
    <w:name w:val="SI Contents page heading 4 Char"/>
    <w:basedOn w:val="DefaultParagraphFont"/>
    <w:link w:val="SIContentspageheading4"/>
    <w:rsid w:val="00932231"/>
    <w:rPr>
      <w:rFonts w:ascii="Avenir Book" w:hAnsi="Avenir Book"/>
      <w:noProof/>
      <w:sz w:val="21"/>
      <w:szCs w:val="21"/>
    </w:rPr>
  </w:style>
  <w:style w:type="paragraph" w:customStyle="1" w:styleId="Secondarydotpoint">
    <w:name w:val="Secondary dot point"/>
    <w:basedOn w:val="DotpointsSI"/>
    <w:link w:val="SecondarydotpointChar"/>
    <w:qFormat/>
    <w:rsid w:val="00932231"/>
    <w:pPr>
      <w:numPr>
        <w:ilvl w:val="1"/>
      </w:numPr>
    </w:pPr>
  </w:style>
  <w:style w:type="character" w:customStyle="1" w:styleId="SecondarydotpointChar">
    <w:name w:val="Secondary dot point Char"/>
    <w:basedOn w:val="DotpointsSIChar"/>
    <w:link w:val="Secondarydotpoint"/>
    <w:rsid w:val="00932231"/>
    <w:rPr>
      <w:rFonts w:ascii="Avenir Book" w:hAnsi="Avenir Book" w:cs="Calibri"/>
      <w:color w:val="1E3531"/>
      <w14:ligatures w14:val="standardContextual"/>
    </w:rPr>
  </w:style>
  <w:style w:type="character" w:customStyle="1" w:styleId="SIBodyitalics">
    <w:name w:val="SI_Body_italics"/>
    <w:uiPriority w:val="1"/>
    <w:qFormat/>
    <w:rsid w:val="004D24B6"/>
    <w:rPr>
      <w:rFonts w:ascii="Calibri" w:hAnsi="Calibri" w:cs="Arial"/>
      <w:i/>
      <w:sz w:val="22"/>
    </w:rPr>
  </w:style>
  <w:style w:type="paragraph" w:customStyle="1" w:styleId="TableText">
    <w:name w:val="Table Text"/>
    <w:basedOn w:val="Normal"/>
    <w:qFormat/>
    <w:rsid w:val="004D24B6"/>
    <w:pPr>
      <w:spacing w:before="60" w:after="60"/>
    </w:pPr>
    <w:rPr>
      <w:rFonts w:ascii="Arial" w:eastAsia="Times New Roman" w:hAnsi="Arial" w:cs="Times New Roman"/>
      <w:color w:val="000000"/>
      <w:sz w:val="20"/>
      <w:szCs w:val="20"/>
      <w:lang w:val="en-GB"/>
    </w:rPr>
  </w:style>
  <w:style w:type="character" w:customStyle="1" w:styleId="SIBodybold">
    <w:name w:val="SI_Body_bold"/>
    <w:rsid w:val="00877ECE"/>
    <w:rPr>
      <w:rFonts w:ascii="Arial" w:hAnsi="Arial" w:cs="Arial"/>
      <w:b/>
      <w:sz w:val="20"/>
    </w:rPr>
  </w:style>
  <w:style w:type="paragraph" w:styleId="NormalWeb">
    <w:name w:val="Normal (Web)"/>
    <w:basedOn w:val="Normal"/>
    <w:uiPriority w:val="99"/>
    <w:semiHidden/>
    <w:unhideWhenUsed/>
    <w:rsid w:val="00FB34CE"/>
    <w:rPr>
      <w:rFonts w:ascii="Times New Roman" w:hAnsi="Times New Roman" w:cs="Times New Roman"/>
    </w:rPr>
  </w:style>
  <w:style w:type="paragraph" w:styleId="CommentText">
    <w:name w:val="annotation text"/>
    <w:basedOn w:val="Normal"/>
    <w:link w:val="CommentTextChar"/>
    <w:uiPriority w:val="99"/>
    <w:rsid w:val="0008014B"/>
    <w:pPr>
      <w:spacing w:before="120" w:after="120" w:line="276" w:lineRule="auto"/>
    </w:pPr>
    <w:rPr>
      <w:rFonts w:ascii="Calibri" w:eastAsia="Times New Roman" w:hAnsi="Calibri" w:cs="Times New Roman"/>
      <w:sz w:val="20"/>
      <w:szCs w:val="20"/>
    </w:rPr>
  </w:style>
  <w:style w:type="character" w:customStyle="1" w:styleId="CommentTextChar">
    <w:name w:val="Comment Text Char"/>
    <w:basedOn w:val="DefaultParagraphFont"/>
    <w:link w:val="CommentText"/>
    <w:uiPriority w:val="99"/>
    <w:rsid w:val="0008014B"/>
    <w:rPr>
      <w:rFonts w:ascii="Calibri" w:eastAsia="Times New Roman" w:hAnsi="Calibri" w:cs="Times New Roman"/>
      <w:sz w:val="20"/>
      <w:szCs w:val="20"/>
    </w:rPr>
  </w:style>
  <w:style w:type="character" w:styleId="CommentReference">
    <w:name w:val="annotation reference"/>
    <w:uiPriority w:val="99"/>
    <w:semiHidden/>
    <w:unhideWhenUsed/>
    <w:rsid w:val="0008014B"/>
    <w:rPr>
      <w:sz w:val="16"/>
      <w:szCs w:val="16"/>
    </w:rPr>
  </w:style>
  <w:style w:type="paragraph" w:customStyle="1" w:styleId="SIText">
    <w:name w:val="SI Text"/>
    <w:link w:val="SITextChar"/>
    <w:qFormat/>
    <w:rsid w:val="0008014B"/>
    <w:rPr>
      <w:rFonts w:ascii="Arial" w:eastAsia="Times New Roman" w:hAnsi="Arial" w:cs="Times New Roman"/>
      <w:sz w:val="20"/>
      <w:szCs w:val="22"/>
    </w:rPr>
  </w:style>
  <w:style w:type="character" w:customStyle="1" w:styleId="SITextChar">
    <w:name w:val="SI Text Char"/>
    <w:link w:val="SIText"/>
    <w:rsid w:val="0008014B"/>
    <w:rPr>
      <w:rFonts w:ascii="Arial" w:eastAsia="Times New Roman" w:hAnsi="Arial" w:cs="Times New Roman"/>
      <w:sz w:val="20"/>
      <w:szCs w:val="22"/>
    </w:rPr>
  </w:style>
  <w:style w:type="character" w:customStyle="1" w:styleId="SITempText-Green">
    <w:name w:val="SI Temp Text - Green"/>
    <w:basedOn w:val="DefaultParagraphFont"/>
    <w:uiPriority w:val="1"/>
    <w:qFormat/>
    <w:rsid w:val="007B559E"/>
    <w:rPr>
      <w:rFonts w:ascii="Arial" w:hAnsi="Arial"/>
      <w:color w:val="4472C4" w:themeColor="accent1"/>
      <w:sz w:val="22"/>
    </w:rPr>
  </w:style>
  <w:style w:type="paragraph" w:styleId="Revision">
    <w:name w:val="Revision"/>
    <w:hidden/>
    <w:uiPriority w:val="99"/>
    <w:semiHidden/>
    <w:rsid w:val="003E6C4B"/>
  </w:style>
  <w:style w:type="paragraph" w:styleId="FootnoteText">
    <w:name w:val="footnote text"/>
    <w:basedOn w:val="Normal"/>
    <w:link w:val="FootnoteTextChar"/>
    <w:uiPriority w:val="99"/>
    <w:semiHidden/>
    <w:unhideWhenUsed/>
    <w:rsid w:val="00A758F3"/>
    <w:rPr>
      <w:sz w:val="20"/>
      <w:szCs w:val="20"/>
    </w:rPr>
  </w:style>
  <w:style w:type="character" w:customStyle="1" w:styleId="FootnoteTextChar">
    <w:name w:val="Footnote Text Char"/>
    <w:basedOn w:val="DefaultParagraphFont"/>
    <w:link w:val="FootnoteText"/>
    <w:uiPriority w:val="99"/>
    <w:semiHidden/>
    <w:rsid w:val="00A758F3"/>
    <w:rPr>
      <w:sz w:val="20"/>
      <w:szCs w:val="20"/>
    </w:rPr>
  </w:style>
  <w:style w:type="character" w:styleId="FootnoteReference">
    <w:name w:val="footnote reference"/>
    <w:basedOn w:val="DefaultParagraphFont"/>
    <w:uiPriority w:val="99"/>
    <w:semiHidden/>
    <w:unhideWhenUsed/>
    <w:rsid w:val="00A758F3"/>
    <w:rPr>
      <w:vertAlign w:val="superscript"/>
    </w:rPr>
  </w:style>
  <w:style w:type="paragraph" w:customStyle="1" w:styleId="font8">
    <w:name w:val="font_8"/>
    <w:basedOn w:val="Normal"/>
    <w:rsid w:val="00543564"/>
    <w:pPr>
      <w:spacing w:before="100" w:beforeAutospacing="1" w:after="100" w:afterAutospacing="1"/>
    </w:pPr>
  </w:style>
  <w:style w:type="character" w:customStyle="1" w:styleId="wixguard">
    <w:name w:val="wixguard"/>
    <w:basedOn w:val="DefaultParagraphFont"/>
    <w:rsid w:val="00543564"/>
  </w:style>
  <w:style w:type="character" w:styleId="FollowedHyperlink">
    <w:name w:val="FollowedHyperlink"/>
    <w:basedOn w:val="DefaultParagraphFont"/>
    <w:uiPriority w:val="99"/>
    <w:semiHidden/>
    <w:unhideWhenUsed/>
    <w:rsid w:val="002F0C0E"/>
    <w:rPr>
      <w:color w:val="954F72" w:themeColor="followedHyperlink"/>
      <w:u w:val="single"/>
    </w:rPr>
  </w:style>
  <w:style w:type="paragraph" w:styleId="ListParagraph">
    <w:name w:val="List Paragraph"/>
    <w:basedOn w:val="Normal"/>
    <w:uiPriority w:val="34"/>
    <w:rsid w:val="001534A1"/>
    <w:pPr>
      <w:ind w:left="720"/>
      <w:contextualSpacing/>
    </w:pPr>
  </w:style>
  <w:style w:type="paragraph" w:customStyle="1" w:styleId="SIBulletList1">
    <w:name w:val="SI Bullet List 1"/>
    <w:qFormat/>
    <w:rsid w:val="002E2D13"/>
    <w:pPr>
      <w:numPr>
        <w:numId w:val="2"/>
      </w:numPr>
      <w:tabs>
        <w:tab w:val="left" w:pos="357"/>
      </w:tabs>
      <w:ind w:left="357" w:hanging="357"/>
    </w:pPr>
    <w:rPr>
      <w:rFonts w:ascii="Arial" w:hAnsi="Arial"/>
      <w:color w:val="000000" w:themeColor="text1"/>
      <w:sz w:val="20"/>
      <w:szCs w:val="22"/>
    </w:rPr>
  </w:style>
  <w:style w:type="paragraph" w:customStyle="1" w:styleId="SIBulletList2">
    <w:name w:val="SI Bullet List 2"/>
    <w:basedOn w:val="SIBulletList1"/>
    <w:qFormat/>
    <w:rsid w:val="002E2D13"/>
    <w:pPr>
      <w:tabs>
        <w:tab w:val="left" w:pos="720"/>
      </w:tabs>
      <w:ind w:left="720" w:hanging="360"/>
    </w:pPr>
  </w:style>
  <w:style w:type="character" w:customStyle="1" w:styleId="SITempText-Blue">
    <w:name w:val="SI Temp Text - Blue"/>
    <w:basedOn w:val="SITempText-Green"/>
    <w:uiPriority w:val="1"/>
    <w:qFormat/>
    <w:rsid w:val="00D120A1"/>
    <w:rPr>
      <w:rFonts w:ascii="Arial" w:hAnsi="Arial"/>
      <w:color w:val="5B9BD5" w:themeColor="accent5"/>
      <w:sz w:val="22"/>
    </w:rPr>
  </w:style>
  <w:style w:type="character" w:styleId="UnresolvedMention">
    <w:name w:val="Unresolved Mention"/>
    <w:basedOn w:val="DefaultParagraphFont"/>
    <w:uiPriority w:val="99"/>
    <w:semiHidden/>
    <w:unhideWhenUsed/>
    <w:rsid w:val="007846CC"/>
    <w:rPr>
      <w:color w:val="605E5C"/>
      <w:shd w:val="clear" w:color="auto" w:fill="E1DFDD"/>
    </w:rPr>
  </w:style>
  <w:style w:type="paragraph" w:styleId="PlainText">
    <w:name w:val="Plain Text"/>
    <w:basedOn w:val="Normal"/>
    <w:link w:val="PlainTextChar"/>
    <w:uiPriority w:val="99"/>
    <w:semiHidden/>
    <w:unhideWhenUsed/>
    <w:rsid w:val="00546ED8"/>
    <w:rPr>
      <w:rFonts w:ascii="Calibri" w:eastAsia="Times New Roman" w:hAnsi="Calibri" w:cstheme="minorBidi"/>
      <w:kern w:val="2"/>
      <w:sz w:val="22"/>
      <w:szCs w:val="21"/>
    </w:rPr>
  </w:style>
  <w:style w:type="character" w:customStyle="1" w:styleId="PlainTextChar">
    <w:name w:val="Plain Text Char"/>
    <w:basedOn w:val="DefaultParagraphFont"/>
    <w:link w:val="PlainText"/>
    <w:uiPriority w:val="99"/>
    <w:semiHidden/>
    <w:rsid w:val="00546ED8"/>
    <w:rPr>
      <w:rFonts w:ascii="Calibri" w:eastAsia="Times New Roman" w:hAnsi="Calibri"/>
      <w:kern w:val="2"/>
      <w:sz w:val="22"/>
      <w:szCs w:val="21"/>
      <w14:ligatures w14:val="standardContextual"/>
    </w:rPr>
  </w:style>
  <w:style w:type="paragraph" w:styleId="CommentSubject">
    <w:name w:val="annotation subject"/>
    <w:basedOn w:val="CommentText"/>
    <w:next w:val="CommentText"/>
    <w:link w:val="CommentSubjectChar"/>
    <w:uiPriority w:val="99"/>
    <w:semiHidden/>
    <w:unhideWhenUsed/>
    <w:rsid w:val="009E74CB"/>
    <w:pPr>
      <w:spacing w:before="0" w:after="0" w:line="240" w:lineRule="auto"/>
    </w:pPr>
    <w:rPr>
      <w:rFonts w:ascii="Aptos" w:eastAsiaTheme="minorHAnsi" w:hAnsi="Aptos" w:cs="Calibri"/>
      <w:b/>
      <w:bCs/>
    </w:rPr>
  </w:style>
  <w:style w:type="character" w:customStyle="1" w:styleId="CommentSubjectChar">
    <w:name w:val="Comment Subject Char"/>
    <w:basedOn w:val="CommentTextChar"/>
    <w:link w:val="CommentSubject"/>
    <w:uiPriority w:val="99"/>
    <w:semiHidden/>
    <w:rsid w:val="009E74CB"/>
    <w:rPr>
      <w:rFonts w:ascii="Aptos" w:eastAsia="Times New Roman" w:hAnsi="Aptos" w:cs="Calibri"/>
      <w:b/>
      <w:bCs/>
      <w:sz w:val="20"/>
      <w:szCs w:val="20"/>
      <w14:ligatures w14:val="standardContextual"/>
    </w:rPr>
  </w:style>
  <w:style w:type="paragraph" w:customStyle="1" w:styleId="p1">
    <w:name w:val="p1"/>
    <w:basedOn w:val="Normal"/>
    <w:rsid w:val="00BB6B7F"/>
    <w:pPr>
      <w:spacing w:before="100" w:beforeAutospacing="1" w:after="100" w:afterAutospacing="1"/>
    </w:pPr>
    <w:rPr>
      <w:rFonts w:ascii="Times New Roman" w:eastAsia="Times New Roman" w:hAnsi="Times New Roman" w:cs="Times New Roman"/>
      <w:lang w:eastAsia="en-AU"/>
      <w14:ligatures w14:val="none"/>
    </w:rPr>
  </w:style>
  <w:style w:type="character" w:customStyle="1" w:styleId="s1">
    <w:name w:val="s1"/>
    <w:basedOn w:val="DefaultParagraphFont"/>
    <w:rsid w:val="00BB6B7F"/>
  </w:style>
  <w:style w:type="paragraph" w:customStyle="1" w:styleId="SITabletext">
    <w:name w:val="SI_Table_text"/>
    <w:basedOn w:val="BodyTextSI"/>
    <w:uiPriority w:val="99"/>
    <w:qFormat/>
    <w:rsid w:val="00746BA6"/>
    <w:rPr>
      <w:rFonts w:cstheme="minorBidi"/>
      <w:sz w:val="20"/>
      <w:szCs w:val="20"/>
      <w14:ligatures w14:val="none"/>
    </w:rPr>
  </w:style>
  <w:style w:type="table" w:customStyle="1" w:styleId="TableGrid1">
    <w:name w:val="Table Grid1"/>
    <w:basedOn w:val="TableNormal"/>
    <w:next w:val="TableGrid"/>
    <w:uiPriority w:val="39"/>
    <w:rsid w:val="003C17CF"/>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IBodybullet">
    <w:name w:val="SI_Body_bullet"/>
    <w:basedOn w:val="Normal"/>
    <w:autoRedefine/>
    <w:qFormat/>
    <w:rsid w:val="00C60BA2"/>
    <w:pPr>
      <w:numPr>
        <w:numId w:val="16"/>
      </w:numPr>
      <w:tabs>
        <w:tab w:val="left" w:pos="709"/>
      </w:tabs>
      <w:spacing w:after="120"/>
    </w:pPr>
    <w:rPr>
      <w:rFonts w:ascii="Avenir" w:eastAsia="Times New Roman" w:hAnsi="Avenir"/>
      <w:color w:val="213430"/>
      <w:sz w:val="20"/>
      <w:szCs w:val="22"/>
      <w14:ligatures w14:val="none"/>
    </w:rPr>
  </w:style>
  <w:style w:type="paragraph" w:customStyle="1" w:styleId="SITablebullet1">
    <w:name w:val="SI_Table_bullet1"/>
    <w:basedOn w:val="SITabletext"/>
    <w:qFormat/>
    <w:rsid w:val="00C60BA2"/>
  </w:style>
  <w:style w:type="character" w:customStyle="1" w:styleId="SITemporarytext-green">
    <w:name w:val="SI Temporary text - green"/>
    <w:basedOn w:val="DefaultParagraphFont"/>
    <w:uiPriority w:val="1"/>
    <w:qFormat/>
    <w:rsid w:val="00C60BA2"/>
    <w:rPr>
      <w:rFonts w:ascii="Arial" w:eastAsia="Times New Roman" w:hAnsi="Arial" w:cs="Times New Roman"/>
      <w:caps w:val="0"/>
      <w:smallCaps w:val="0"/>
      <w:strike w:val="0"/>
      <w:dstrike w:val="0"/>
      <w:vanish w:val="0"/>
      <w:color w:val="00B050"/>
      <w:sz w:val="22"/>
      <w:vertAlign w:val="base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936489">
      <w:bodyDiv w:val="1"/>
      <w:marLeft w:val="0"/>
      <w:marRight w:val="0"/>
      <w:marTop w:val="0"/>
      <w:marBottom w:val="0"/>
      <w:divBdr>
        <w:top w:val="none" w:sz="0" w:space="0" w:color="auto"/>
        <w:left w:val="none" w:sz="0" w:space="0" w:color="auto"/>
        <w:bottom w:val="none" w:sz="0" w:space="0" w:color="auto"/>
        <w:right w:val="none" w:sz="0" w:space="0" w:color="auto"/>
      </w:divBdr>
    </w:div>
    <w:div w:id="310408507">
      <w:bodyDiv w:val="1"/>
      <w:marLeft w:val="0"/>
      <w:marRight w:val="0"/>
      <w:marTop w:val="0"/>
      <w:marBottom w:val="0"/>
      <w:divBdr>
        <w:top w:val="none" w:sz="0" w:space="0" w:color="auto"/>
        <w:left w:val="none" w:sz="0" w:space="0" w:color="auto"/>
        <w:bottom w:val="none" w:sz="0" w:space="0" w:color="auto"/>
        <w:right w:val="none" w:sz="0" w:space="0" w:color="auto"/>
      </w:divBdr>
    </w:div>
    <w:div w:id="326633918">
      <w:bodyDiv w:val="1"/>
      <w:marLeft w:val="0"/>
      <w:marRight w:val="0"/>
      <w:marTop w:val="0"/>
      <w:marBottom w:val="0"/>
      <w:divBdr>
        <w:top w:val="none" w:sz="0" w:space="0" w:color="auto"/>
        <w:left w:val="none" w:sz="0" w:space="0" w:color="auto"/>
        <w:bottom w:val="none" w:sz="0" w:space="0" w:color="auto"/>
        <w:right w:val="none" w:sz="0" w:space="0" w:color="auto"/>
      </w:divBdr>
    </w:div>
    <w:div w:id="456292406">
      <w:bodyDiv w:val="1"/>
      <w:marLeft w:val="0"/>
      <w:marRight w:val="0"/>
      <w:marTop w:val="0"/>
      <w:marBottom w:val="0"/>
      <w:divBdr>
        <w:top w:val="none" w:sz="0" w:space="0" w:color="auto"/>
        <w:left w:val="none" w:sz="0" w:space="0" w:color="auto"/>
        <w:bottom w:val="none" w:sz="0" w:space="0" w:color="auto"/>
        <w:right w:val="none" w:sz="0" w:space="0" w:color="auto"/>
      </w:divBdr>
    </w:div>
    <w:div w:id="557859584">
      <w:bodyDiv w:val="1"/>
      <w:marLeft w:val="0"/>
      <w:marRight w:val="0"/>
      <w:marTop w:val="0"/>
      <w:marBottom w:val="0"/>
      <w:divBdr>
        <w:top w:val="none" w:sz="0" w:space="0" w:color="auto"/>
        <w:left w:val="none" w:sz="0" w:space="0" w:color="auto"/>
        <w:bottom w:val="none" w:sz="0" w:space="0" w:color="auto"/>
        <w:right w:val="none" w:sz="0" w:space="0" w:color="auto"/>
      </w:divBdr>
    </w:div>
    <w:div w:id="678851582">
      <w:bodyDiv w:val="1"/>
      <w:marLeft w:val="0"/>
      <w:marRight w:val="0"/>
      <w:marTop w:val="0"/>
      <w:marBottom w:val="0"/>
      <w:divBdr>
        <w:top w:val="none" w:sz="0" w:space="0" w:color="auto"/>
        <w:left w:val="none" w:sz="0" w:space="0" w:color="auto"/>
        <w:bottom w:val="none" w:sz="0" w:space="0" w:color="auto"/>
        <w:right w:val="none" w:sz="0" w:space="0" w:color="auto"/>
      </w:divBdr>
    </w:div>
    <w:div w:id="689839313">
      <w:bodyDiv w:val="1"/>
      <w:marLeft w:val="0"/>
      <w:marRight w:val="0"/>
      <w:marTop w:val="0"/>
      <w:marBottom w:val="0"/>
      <w:divBdr>
        <w:top w:val="none" w:sz="0" w:space="0" w:color="auto"/>
        <w:left w:val="none" w:sz="0" w:space="0" w:color="auto"/>
        <w:bottom w:val="none" w:sz="0" w:space="0" w:color="auto"/>
        <w:right w:val="none" w:sz="0" w:space="0" w:color="auto"/>
      </w:divBdr>
    </w:div>
    <w:div w:id="705369758">
      <w:bodyDiv w:val="1"/>
      <w:marLeft w:val="0"/>
      <w:marRight w:val="0"/>
      <w:marTop w:val="0"/>
      <w:marBottom w:val="0"/>
      <w:divBdr>
        <w:top w:val="none" w:sz="0" w:space="0" w:color="auto"/>
        <w:left w:val="none" w:sz="0" w:space="0" w:color="auto"/>
        <w:bottom w:val="none" w:sz="0" w:space="0" w:color="auto"/>
        <w:right w:val="none" w:sz="0" w:space="0" w:color="auto"/>
      </w:divBdr>
    </w:div>
    <w:div w:id="706873062">
      <w:bodyDiv w:val="1"/>
      <w:marLeft w:val="0"/>
      <w:marRight w:val="0"/>
      <w:marTop w:val="0"/>
      <w:marBottom w:val="0"/>
      <w:divBdr>
        <w:top w:val="none" w:sz="0" w:space="0" w:color="auto"/>
        <w:left w:val="none" w:sz="0" w:space="0" w:color="auto"/>
        <w:bottom w:val="none" w:sz="0" w:space="0" w:color="auto"/>
        <w:right w:val="none" w:sz="0" w:space="0" w:color="auto"/>
      </w:divBdr>
    </w:div>
    <w:div w:id="792942720">
      <w:bodyDiv w:val="1"/>
      <w:marLeft w:val="0"/>
      <w:marRight w:val="0"/>
      <w:marTop w:val="0"/>
      <w:marBottom w:val="0"/>
      <w:divBdr>
        <w:top w:val="none" w:sz="0" w:space="0" w:color="auto"/>
        <w:left w:val="none" w:sz="0" w:space="0" w:color="auto"/>
        <w:bottom w:val="none" w:sz="0" w:space="0" w:color="auto"/>
        <w:right w:val="none" w:sz="0" w:space="0" w:color="auto"/>
      </w:divBdr>
    </w:div>
    <w:div w:id="827747143">
      <w:bodyDiv w:val="1"/>
      <w:marLeft w:val="0"/>
      <w:marRight w:val="0"/>
      <w:marTop w:val="0"/>
      <w:marBottom w:val="0"/>
      <w:divBdr>
        <w:top w:val="none" w:sz="0" w:space="0" w:color="auto"/>
        <w:left w:val="none" w:sz="0" w:space="0" w:color="auto"/>
        <w:bottom w:val="none" w:sz="0" w:space="0" w:color="auto"/>
        <w:right w:val="none" w:sz="0" w:space="0" w:color="auto"/>
      </w:divBdr>
    </w:div>
    <w:div w:id="879438945">
      <w:bodyDiv w:val="1"/>
      <w:marLeft w:val="0"/>
      <w:marRight w:val="0"/>
      <w:marTop w:val="0"/>
      <w:marBottom w:val="0"/>
      <w:divBdr>
        <w:top w:val="none" w:sz="0" w:space="0" w:color="auto"/>
        <w:left w:val="none" w:sz="0" w:space="0" w:color="auto"/>
        <w:bottom w:val="none" w:sz="0" w:space="0" w:color="auto"/>
        <w:right w:val="none" w:sz="0" w:space="0" w:color="auto"/>
      </w:divBdr>
    </w:div>
    <w:div w:id="905341268">
      <w:bodyDiv w:val="1"/>
      <w:marLeft w:val="0"/>
      <w:marRight w:val="0"/>
      <w:marTop w:val="0"/>
      <w:marBottom w:val="0"/>
      <w:divBdr>
        <w:top w:val="none" w:sz="0" w:space="0" w:color="auto"/>
        <w:left w:val="none" w:sz="0" w:space="0" w:color="auto"/>
        <w:bottom w:val="none" w:sz="0" w:space="0" w:color="auto"/>
        <w:right w:val="none" w:sz="0" w:space="0" w:color="auto"/>
      </w:divBdr>
    </w:div>
    <w:div w:id="1119371954">
      <w:bodyDiv w:val="1"/>
      <w:marLeft w:val="0"/>
      <w:marRight w:val="0"/>
      <w:marTop w:val="0"/>
      <w:marBottom w:val="0"/>
      <w:divBdr>
        <w:top w:val="none" w:sz="0" w:space="0" w:color="auto"/>
        <w:left w:val="none" w:sz="0" w:space="0" w:color="auto"/>
        <w:bottom w:val="none" w:sz="0" w:space="0" w:color="auto"/>
        <w:right w:val="none" w:sz="0" w:space="0" w:color="auto"/>
      </w:divBdr>
    </w:div>
    <w:div w:id="1209756940">
      <w:bodyDiv w:val="1"/>
      <w:marLeft w:val="0"/>
      <w:marRight w:val="0"/>
      <w:marTop w:val="0"/>
      <w:marBottom w:val="0"/>
      <w:divBdr>
        <w:top w:val="none" w:sz="0" w:space="0" w:color="auto"/>
        <w:left w:val="none" w:sz="0" w:space="0" w:color="auto"/>
        <w:bottom w:val="none" w:sz="0" w:space="0" w:color="auto"/>
        <w:right w:val="none" w:sz="0" w:space="0" w:color="auto"/>
      </w:divBdr>
    </w:div>
    <w:div w:id="1381900802">
      <w:bodyDiv w:val="1"/>
      <w:marLeft w:val="0"/>
      <w:marRight w:val="0"/>
      <w:marTop w:val="0"/>
      <w:marBottom w:val="0"/>
      <w:divBdr>
        <w:top w:val="none" w:sz="0" w:space="0" w:color="auto"/>
        <w:left w:val="none" w:sz="0" w:space="0" w:color="auto"/>
        <w:bottom w:val="none" w:sz="0" w:space="0" w:color="auto"/>
        <w:right w:val="none" w:sz="0" w:space="0" w:color="auto"/>
      </w:divBdr>
    </w:div>
    <w:div w:id="1509710236">
      <w:bodyDiv w:val="1"/>
      <w:marLeft w:val="0"/>
      <w:marRight w:val="0"/>
      <w:marTop w:val="0"/>
      <w:marBottom w:val="0"/>
      <w:divBdr>
        <w:top w:val="none" w:sz="0" w:space="0" w:color="auto"/>
        <w:left w:val="none" w:sz="0" w:space="0" w:color="auto"/>
        <w:bottom w:val="none" w:sz="0" w:space="0" w:color="auto"/>
        <w:right w:val="none" w:sz="0" w:space="0" w:color="auto"/>
      </w:divBdr>
    </w:div>
    <w:div w:id="1517496219">
      <w:bodyDiv w:val="1"/>
      <w:marLeft w:val="0"/>
      <w:marRight w:val="0"/>
      <w:marTop w:val="0"/>
      <w:marBottom w:val="0"/>
      <w:divBdr>
        <w:top w:val="none" w:sz="0" w:space="0" w:color="auto"/>
        <w:left w:val="none" w:sz="0" w:space="0" w:color="auto"/>
        <w:bottom w:val="none" w:sz="0" w:space="0" w:color="auto"/>
        <w:right w:val="none" w:sz="0" w:space="0" w:color="auto"/>
      </w:divBdr>
    </w:div>
    <w:div w:id="1746998407">
      <w:bodyDiv w:val="1"/>
      <w:marLeft w:val="0"/>
      <w:marRight w:val="0"/>
      <w:marTop w:val="0"/>
      <w:marBottom w:val="0"/>
      <w:divBdr>
        <w:top w:val="none" w:sz="0" w:space="0" w:color="auto"/>
        <w:left w:val="none" w:sz="0" w:space="0" w:color="auto"/>
        <w:bottom w:val="none" w:sz="0" w:space="0" w:color="auto"/>
        <w:right w:val="none" w:sz="0" w:space="0" w:color="auto"/>
      </w:divBdr>
    </w:div>
    <w:div w:id="2144691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sqa.gov.au/rtos/2025-standards-rtos"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svg"/><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DFB03B002ED7447B465CFFFD6627128" ma:contentTypeVersion="13" ma:contentTypeDescription="Create a new document." ma:contentTypeScope="" ma:versionID="155bafb946c6b6addb020eb70f98249d">
  <xsd:schema xmlns:xsd="http://www.w3.org/2001/XMLSchema" xmlns:xs="http://www.w3.org/2001/XMLSchema" xmlns:p="http://schemas.microsoft.com/office/2006/metadata/properties" xmlns:ns2="680c2e97-ee14-43ac-bc0c-32c69729eef1" xmlns:ns3="11887736-7a66-4c18-a1a1-897609be8a39" targetNamespace="http://schemas.microsoft.com/office/2006/metadata/properties" ma:root="true" ma:fieldsID="695935d49d6fba5f61b3212626fbf21b" ns2:_="" ns3:_="">
    <xsd:import namespace="680c2e97-ee14-43ac-bc0c-32c69729eef1"/>
    <xsd:import namespace="11887736-7a66-4c18-a1a1-897609be8a39"/>
    <xsd:element name="properties">
      <xsd:complexType>
        <xsd:sequence>
          <xsd:element name="documentManagement">
            <xsd:complexType>
              <xsd:all>
                <xsd:element ref="ns2:CheckedInComment" minOccurs="0"/>
                <xsd:element ref="ns2:Phase" minOccurs="0"/>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GenerationTime" minOccurs="0"/>
                <xsd:element ref="ns2:MediaServiceEventHashCode" minOccurs="0"/>
                <xsd:element ref="ns2:MediaServiceDateTaken" minOccurs="0"/>
                <xsd:element ref="ns2:MediaLengthInSeconds"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0c2e97-ee14-43ac-bc0c-32c69729eef1" elementFormDefault="qualified">
    <xsd:import namespace="http://schemas.microsoft.com/office/2006/documentManagement/types"/>
    <xsd:import namespace="http://schemas.microsoft.com/office/infopath/2007/PartnerControls"/>
    <xsd:element name="CheckedInComment" ma:index="8" nillable="true" ma:displayName="Checked In Comment" ma:description="explain what has changed" ma:format="Dropdown" ma:internalName="CheckedInComment">
      <xsd:simpleType>
        <xsd:restriction base="dms:Note">
          <xsd:maxLength value="255"/>
        </xsd:restriction>
      </xsd:simpleType>
    </xsd:element>
    <xsd:element name="Phase" ma:index="9" nillable="true" ma:displayName="Phase" ma:description="Project phase" ma:format="Dropdown" ma:internalName="Phase">
      <xsd:simpleType>
        <xsd:restriction base="dms:Choice">
          <xsd:enumeration value="ADA"/>
          <xsd:enumeration value="Broad Consultation docs"/>
          <xsd:enumeration value="Consensus Gathering docs"/>
          <xsd:enumeration value="Comms"/>
          <xsd:enumeration value="CVIG"/>
          <xsd:enumeration value="Finalisation"/>
          <xsd:enumeration value="Kick Off/Stage Gate"/>
          <xsd:enumeration value="Project docs"/>
          <xsd:enumeration value="Research/Handover"/>
          <xsd:enumeration value="Site visits"/>
          <xsd:enumeration value="Technical Ctee"/>
          <xsd:enumeration value="DEWR"/>
          <xsd:enumeration value="STAs/ITABs/VQRS"/>
          <xsd:enumeration value="Meeting Recordings"/>
          <xsd:enumeration value="SME WGs"/>
        </xsd:restriction>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8fb97a92-d613-46d6-96e7-cc0fd526c008" ma:termSetId="09814cd3-568e-fe90-9814-8d621ff8fb84" ma:anchorId="fba54fb3-c3e1-fe81-a776-ca4b69148c4d" ma:open="true" ma:isKeyword="false">
      <xsd:complexType>
        <xsd:sequence>
          <xsd:element ref="pc:Terms" minOccurs="0" maxOccurs="1"/>
        </xsd:sequence>
      </xsd:complex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1887736-7a66-4c18-a1a1-897609be8a3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5977c6a3-14ab-4ad3-9d57-c89db8b3044e}" ma:internalName="TaxCatchAll" ma:showField="CatchAllData" ma:web="11887736-7a66-4c18-a1a1-897609be8a3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heckedInComment xmlns="680c2e97-ee14-43ac-bc0c-32c69729eef1" xsi:nil="true"/>
    <TaxCatchAll xmlns="11887736-7a66-4c18-a1a1-897609be8a39" xsi:nil="true"/>
    <lcf76f155ced4ddcb4097134ff3c332f xmlns="680c2e97-ee14-43ac-bc0c-32c69729eef1">
      <Terms xmlns="http://schemas.microsoft.com/office/infopath/2007/PartnerControls"/>
    </lcf76f155ced4ddcb4097134ff3c332f>
    <Phase xmlns="680c2e97-ee14-43ac-bc0c-32c69729eef1">CVIG</Phas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DD62E89-6D51-4367-8042-0512263844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0c2e97-ee14-43ac-bc0c-32c69729eef1"/>
    <ds:schemaRef ds:uri="11887736-7a66-4c18-a1a1-897609be8a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AF707D8-2D25-42E7-87C9-8D96419EE6E8}">
  <ds:schemaRefs>
    <ds:schemaRef ds:uri="http://schemas.microsoft.com/office/2006/metadata/properties"/>
    <ds:schemaRef ds:uri="http://schemas.microsoft.com/office/infopath/2007/PartnerControls"/>
    <ds:schemaRef ds:uri="680c2e97-ee14-43ac-bc0c-32c69729eef1"/>
    <ds:schemaRef ds:uri="11887736-7a66-4c18-a1a1-897609be8a39"/>
  </ds:schemaRefs>
</ds:datastoreItem>
</file>

<file path=customXml/itemProps3.xml><?xml version="1.0" encoding="utf-8"?>
<ds:datastoreItem xmlns:ds="http://schemas.openxmlformats.org/officeDocument/2006/customXml" ds:itemID="{51DE6AC8-AAAB-CD46-97B6-C7C413A9FD3B}">
  <ds:schemaRefs>
    <ds:schemaRef ds:uri="http://schemas.openxmlformats.org/officeDocument/2006/bibliography"/>
  </ds:schemaRefs>
</ds:datastoreItem>
</file>

<file path=customXml/itemProps4.xml><?xml version="1.0" encoding="utf-8"?>
<ds:datastoreItem xmlns:ds="http://schemas.openxmlformats.org/officeDocument/2006/customXml" ds:itemID="{3C713AA0-7F81-4493-B3E4-F77770D6747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283</TotalTime>
  <Pages>22</Pages>
  <Words>4820</Words>
  <Characters>33309</Characters>
  <Application>Microsoft Office Word</Application>
  <DocSecurity>0</DocSecurity>
  <Lines>1074</Lines>
  <Paragraphs>733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Keisha Leon</dc:creator>
  <cp:keywords/>
  <dc:description/>
  <cp:lastModifiedBy>Lucinda O'Brien</cp:lastModifiedBy>
  <cp:revision>62</cp:revision>
  <dcterms:created xsi:type="dcterms:W3CDTF">2025-05-16T01:52:00Z</dcterms:created>
  <dcterms:modified xsi:type="dcterms:W3CDTF">2026-06-22T00:09:00Z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0x0101007DFB03B002ED7447B465CFFFD6627128</vt:lpwstr>
  </property>
  <property fmtid="{D5CDD505-2E9C-101B-9397-08002B2CF9AE}" pid="3" name="MediaServiceImageTags">
    <vt:lpwstr/>
  </property>
  <property fmtid="{D5CDD505-2E9C-101B-9397-08002B2CF9AE}" pid="4" name="Category">
    <vt:lpwstr>3. Templates - Communications</vt:lpwstr>
  </property>
</Properties>
</file>